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21F5" w14:textId="77777777" w:rsidR="00502C9A" w:rsidRDefault="00502C9A">
      <w:pPr>
        <w:tabs>
          <w:tab w:val="left" w:pos="1418"/>
        </w:tabs>
        <w:spacing w:line="282" w:lineRule="exact"/>
        <w:rPr>
          <w:rFonts w:ascii="TyponineSans Reg" w:eastAsia="TyponineSans Reg" w:hAnsi="TyponineSans Reg" w:cs="TyponineSans Reg"/>
        </w:rPr>
      </w:pPr>
    </w:p>
    <w:p w14:paraId="651621F6" w14:textId="77777777" w:rsidR="00502C9A" w:rsidRDefault="00502C9A">
      <w:pPr>
        <w:spacing w:line="282" w:lineRule="exact"/>
        <w:sectPr w:rsidR="00502C9A">
          <w:headerReference w:type="default" r:id="rId7"/>
          <w:footerReference w:type="default" r:id="rId8"/>
          <w:pgSz w:w="11906" w:h="16838"/>
          <w:pgMar w:top="1417" w:right="1417" w:bottom="1417" w:left="1417" w:header="708" w:footer="708" w:gutter="0"/>
          <w:cols w:space="724"/>
        </w:sectPr>
      </w:pPr>
    </w:p>
    <w:p w14:paraId="651621F7" w14:textId="77777777" w:rsidR="00502C9A" w:rsidRDefault="00502C9A">
      <w:pPr>
        <w:spacing w:line="282" w:lineRule="exact"/>
        <w:rPr>
          <w:rFonts w:ascii="TyponineSans Reg" w:eastAsia="TyponineSans Reg" w:hAnsi="TyponineSans Reg" w:cs="TyponineSans Reg"/>
        </w:rPr>
      </w:pPr>
    </w:p>
    <w:p w14:paraId="651621F8" w14:textId="0682F09C" w:rsidR="00502C9A" w:rsidRPr="00E46A20" w:rsidRDefault="00266963">
      <w:pPr>
        <w:pStyle w:val="TyponineSans"/>
        <w:rPr>
          <w:sz w:val="20"/>
          <w:szCs w:val="20"/>
        </w:rPr>
      </w:pPr>
      <w:r w:rsidRPr="00E46A20">
        <w:rPr>
          <w:sz w:val="20"/>
          <w:szCs w:val="20"/>
        </w:rPr>
        <w:t>klasa</w:t>
      </w:r>
      <w:r w:rsidRPr="00E46A20">
        <w:rPr>
          <w:sz w:val="20"/>
          <w:szCs w:val="20"/>
        </w:rPr>
        <w:tab/>
      </w:r>
      <w:r w:rsidRPr="00E46A20">
        <w:rPr>
          <w:smallCaps w:val="0"/>
          <w:sz w:val="20"/>
          <w:szCs w:val="20"/>
        </w:rPr>
        <w:t>112-06/20-02/07</w:t>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p>
    <w:p w14:paraId="651621F9" w14:textId="77777777" w:rsidR="00502C9A" w:rsidRPr="00E46A20" w:rsidRDefault="00266963">
      <w:pPr>
        <w:pStyle w:val="TyponineSans"/>
        <w:rPr>
          <w:smallCaps w:val="0"/>
          <w:sz w:val="20"/>
          <w:szCs w:val="20"/>
        </w:rPr>
      </w:pPr>
      <w:r w:rsidRPr="00E46A20">
        <w:rPr>
          <w:sz w:val="20"/>
          <w:szCs w:val="20"/>
        </w:rPr>
        <w:t>ur. broj</w:t>
      </w:r>
      <w:r w:rsidRPr="00E46A20">
        <w:rPr>
          <w:sz w:val="20"/>
          <w:szCs w:val="20"/>
        </w:rPr>
        <w:tab/>
      </w:r>
      <w:r w:rsidRPr="00E46A20">
        <w:rPr>
          <w:smallCaps w:val="0"/>
          <w:sz w:val="20"/>
          <w:szCs w:val="20"/>
        </w:rPr>
        <w:t>514-04-01-01-01/1-20-03</w:t>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p>
    <w:p w14:paraId="651621FA" w14:textId="628F97F8" w:rsidR="00502C9A" w:rsidRPr="00E46A20" w:rsidRDefault="00266963">
      <w:pPr>
        <w:pStyle w:val="TyponineSans"/>
        <w:rPr>
          <w:sz w:val="20"/>
          <w:szCs w:val="20"/>
        </w:rPr>
      </w:pPr>
      <w:r w:rsidRPr="00E46A20">
        <w:rPr>
          <w:smallCaps w:val="0"/>
          <w:sz w:val="20"/>
          <w:szCs w:val="20"/>
        </w:rPr>
        <w:t xml:space="preserve">Zagreb, </w:t>
      </w:r>
      <w:r w:rsidR="00E46A20">
        <w:rPr>
          <w:smallCaps w:val="0"/>
          <w:sz w:val="20"/>
          <w:szCs w:val="20"/>
        </w:rPr>
        <w:t xml:space="preserve"> </w:t>
      </w:r>
      <w:r w:rsidRPr="00E46A20">
        <w:rPr>
          <w:smallCaps w:val="0"/>
          <w:sz w:val="20"/>
          <w:szCs w:val="20"/>
        </w:rPr>
        <w:t>18. lipnja 2020.</w:t>
      </w:r>
      <w:r w:rsidRPr="00E46A20">
        <w:rPr>
          <w:smallCaps w:val="0"/>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p>
    <w:p w14:paraId="651621FB" w14:textId="77777777" w:rsidR="00502C9A" w:rsidRPr="00E46A20" w:rsidRDefault="00266963">
      <w:pPr>
        <w:pStyle w:val="TyponineSans"/>
        <w:rPr>
          <w:smallCaps w:val="0"/>
          <w:sz w:val="20"/>
          <w:szCs w:val="20"/>
        </w:rPr>
      </w:pP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r w:rsidRPr="00E46A20">
        <w:rPr>
          <w:sz w:val="20"/>
          <w:szCs w:val="20"/>
        </w:rPr>
        <w:tab/>
      </w:r>
    </w:p>
    <w:p w14:paraId="651621FC" w14:textId="77777777" w:rsidR="00502C9A" w:rsidRPr="00E46A20" w:rsidRDefault="00266963">
      <w:pPr>
        <w:tabs>
          <w:tab w:val="right" w:pos="-144"/>
          <w:tab w:val="left" w:pos="0"/>
          <w:tab w:val="left" w:pos="5155"/>
        </w:tabs>
        <w:spacing w:line="202" w:lineRule="exact"/>
        <w:ind w:left="-1276"/>
        <w:rPr>
          <w:rFonts w:ascii="TyponineSans Reg" w:eastAsia="TyponineSans Reg" w:hAnsi="TyponineSans Reg" w:cs="TyponineSans Reg"/>
          <w:sz w:val="20"/>
          <w:szCs w:val="20"/>
        </w:rPr>
      </w:pPr>
      <w:r w:rsidRPr="00E46A20">
        <w:rPr>
          <w:rFonts w:ascii="TyponineSans Reg" w:eastAsia="TyponineSans Reg" w:hAnsi="TyponineSans Reg" w:cs="TyponineSans Reg"/>
          <w:sz w:val="20"/>
          <w:szCs w:val="20"/>
        </w:rPr>
        <w:tab/>
      </w:r>
    </w:p>
    <w:p w14:paraId="651621FD" w14:textId="77777777" w:rsidR="00502C9A" w:rsidRPr="00E46A20" w:rsidRDefault="00502C9A" w:rsidP="00C22F91">
      <w:pPr>
        <w:spacing w:line="202" w:lineRule="exact"/>
        <w:jc w:val="both"/>
        <w:rPr>
          <w:rFonts w:ascii="TyponineSans Reg" w:eastAsia="TyponineSans Reg" w:hAnsi="TyponineSans Reg" w:cs="TyponineSans Reg"/>
          <w:sz w:val="20"/>
          <w:szCs w:val="20"/>
        </w:rPr>
      </w:pPr>
    </w:p>
    <w:p w14:paraId="690DB3CE" w14:textId="031AE0C1" w:rsidR="00E46A20" w:rsidRPr="00E46A20" w:rsidRDefault="00C22F91" w:rsidP="00C22F91">
      <w:pPr>
        <w:spacing w:line="240" w:lineRule="auto"/>
        <w:jc w:val="both"/>
        <w:rPr>
          <w:szCs w:val="24"/>
        </w:rPr>
      </w:pPr>
      <w:r>
        <w:rPr>
          <w:color w:val="000000"/>
          <w:szCs w:val="24"/>
        </w:rPr>
        <w:t xml:space="preserve">                       </w:t>
      </w:r>
      <w:r w:rsidR="00E46A20" w:rsidRPr="00E46A20">
        <w:rPr>
          <w:color w:val="000000"/>
          <w:szCs w:val="24"/>
        </w:rPr>
        <w:t xml:space="preserve">Sukladno članku 4. Uredbe o raspisivanju i provedbi javnog natječaja i internog oglasa u državnoj službi („Narodne novine“, broj 78/17 i </w:t>
      </w:r>
      <w:r w:rsidR="00E46A20" w:rsidRPr="00E46A20">
        <w:rPr>
          <w:szCs w:val="24"/>
        </w:rPr>
        <w:t xml:space="preserve">89/19), </w:t>
      </w:r>
      <w:r w:rsidR="00E46A20" w:rsidRPr="00E46A20">
        <w:rPr>
          <w:color w:val="000000"/>
          <w:szCs w:val="24"/>
        </w:rPr>
        <w:t xml:space="preserve">a vezano uz raspisani Javni natječaj za prijam vježbenika u pravosudna tijela, </w:t>
      </w:r>
      <w:r w:rsidR="00E46A20" w:rsidRPr="00E46A20">
        <w:rPr>
          <w:szCs w:val="24"/>
        </w:rPr>
        <w:t>klasa: 112-06/20-</w:t>
      </w:r>
      <w:r w:rsidR="004E51F7">
        <w:rPr>
          <w:szCs w:val="24"/>
        </w:rPr>
        <w:t xml:space="preserve">02/07, </w:t>
      </w:r>
      <w:proofErr w:type="spellStart"/>
      <w:r w:rsidR="004E51F7">
        <w:rPr>
          <w:szCs w:val="24"/>
        </w:rPr>
        <w:t>urbroj</w:t>
      </w:r>
      <w:proofErr w:type="spellEnd"/>
      <w:r w:rsidR="004E51F7">
        <w:rPr>
          <w:szCs w:val="24"/>
        </w:rPr>
        <w:t>: 514-04-01-01/1-20</w:t>
      </w:r>
      <w:r w:rsidR="00E46A20" w:rsidRPr="00E46A20">
        <w:rPr>
          <w:szCs w:val="24"/>
        </w:rPr>
        <w:t>-</w:t>
      </w:r>
      <w:r w:rsidR="004E51F7">
        <w:rPr>
          <w:szCs w:val="24"/>
        </w:rPr>
        <w:t>0</w:t>
      </w:r>
      <w:bookmarkStart w:id="0" w:name="_GoBack"/>
      <w:bookmarkEnd w:id="0"/>
      <w:r w:rsidR="00E46A20" w:rsidRPr="00E46A20">
        <w:rPr>
          <w:szCs w:val="24"/>
        </w:rPr>
        <w:t>1 od 12. lipnja 2020</w:t>
      </w:r>
      <w:r w:rsidR="00E46A20" w:rsidRPr="00E46A20">
        <w:rPr>
          <w:color w:val="C00000"/>
          <w:szCs w:val="24"/>
        </w:rPr>
        <w:t>.</w:t>
      </w:r>
      <w:r w:rsidR="00E46A20" w:rsidRPr="00E46A20">
        <w:rPr>
          <w:szCs w:val="24"/>
        </w:rPr>
        <w:t>,</w:t>
      </w:r>
      <w:r w:rsidR="00E46A20" w:rsidRPr="00E46A20">
        <w:rPr>
          <w:color w:val="000000"/>
          <w:szCs w:val="24"/>
        </w:rPr>
        <w:t xml:space="preserve"> objavljuje se</w:t>
      </w:r>
    </w:p>
    <w:p w14:paraId="4DB7E0CB" w14:textId="77777777" w:rsidR="00E46A20" w:rsidRPr="00E46A20" w:rsidRDefault="00E46A20" w:rsidP="00C22F91">
      <w:pPr>
        <w:spacing w:line="240" w:lineRule="auto"/>
        <w:jc w:val="both"/>
        <w:rPr>
          <w:color w:val="000000"/>
          <w:szCs w:val="24"/>
        </w:rPr>
      </w:pPr>
    </w:p>
    <w:p w14:paraId="2237A85C" w14:textId="77777777" w:rsidR="00E46A20" w:rsidRPr="00E46A20" w:rsidRDefault="00E46A20" w:rsidP="00C22F91">
      <w:pPr>
        <w:spacing w:line="240" w:lineRule="auto"/>
        <w:jc w:val="both"/>
        <w:rPr>
          <w:color w:val="000000"/>
          <w:szCs w:val="24"/>
        </w:rPr>
      </w:pPr>
      <w:r w:rsidRPr="00E46A20">
        <w:rPr>
          <w:color w:val="000000"/>
          <w:szCs w:val="24"/>
        </w:rPr>
        <w:t xml:space="preserve">OPIS POSLOVA, PODACI O PLAĆI, SADRŽAJU I NAČINU PROVOĐENJA PISANE PROVJERE ZNANJA TE  PRAVNI IZVORI ZA PISANU PROVJERU ZNANJA </w:t>
      </w:r>
    </w:p>
    <w:p w14:paraId="4C429861" w14:textId="77777777" w:rsidR="00E46A20" w:rsidRPr="00E46A20" w:rsidRDefault="00E46A20" w:rsidP="00E46A20">
      <w:pPr>
        <w:spacing w:line="240" w:lineRule="auto"/>
        <w:jc w:val="both"/>
        <w:rPr>
          <w:b/>
          <w:color w:val="000000"/>
          <w:szCs w:val="24"/>
        </w:rPr>
      </w:pPr>
    </w:p>
    <w:p w14:paraId="31DC9B9A" w14:textId="77777777" w:rsidR="00E46A20" w:rsidRPr="00E46A20" w:rsidRDefault="00E46A20" w:rsidP="00E46A20">
      <w:pPr>
        <w:numPr>
          <w:ilvl w:val="0"/>
          <w:numId w:val="17"/>
        </w:numPr>
        <w:spacing w:after="160" w:line="240" w:lineRule="auto"/>
        <w:ind w:hanging="436"/>
        <w:jc w:val="center"/>
        <w:rPr>
          <w:color w:val="000000"/>
          <w:szCs w:val="24"/>
        </w:rPr>
      </w:pPr>
      <w:r w:rsidRPr="00E46A20">
        <w:rPr>
          <w:color w:val="000000"/>
          <w:szCs w:val="24"/>
        </w:rPr>
        <w:t>OPIS POSLOVA RADNOG MJESTA</w:t>
      </w:r>
    </w:p>
    <w:p w14:paraId="774A3F07" w14:textId="77777777" w:rsidR="00E46A20" w:rsidRPr="00E46A20" w:rsidRDefault="00E46A20" w:rsidP="00E46A20">
      <w:pPr>
        <w:spacing w:line="240" w:lineRule="auto"/>
        <w:jc w:val="both"/>
        <w:rPr>
          <w:bCs/>
          <w:color w:val="000000"/>
          <w:szCs w:val="24"/>
        </w:rPr>
      </w:pPr>
    </w:p>
    <w:p w14:paraId="7660F8CF" w14:textId="77777777" w:rsidR="00E46A20" w:rsidRPr="00E46A20" w:rsidRDefault="00E46A20" w:rsidP="00E46A20">
      <w:pPr>
        <w:spacing w:line="240" w:lineRule="auto"/>
        <w:ind w:firstLine="1416"/>
        <w:jc w:val="both"/>
        <w:rPr>
          <w:bCs/>
          <w:color w:val="000000"/>
          <w:szCs w:val="24"/>
        </w:rPr>
      </w:pPr>
      <w:r w:rsidRPr="00E46A20">
        <w:rPr>
          <w:bCs/>
          <w:color w:val="000000"/>
          <w:szCs w:val="24"/>
        </w:rPr>
        <w:t xml:space="preserve">Uvjeti za prijam vježbenika u sudove i državna odvjetništva (u daljnjem tekstu: pravosudna tijela), trajanje, program i način provođenja vježbeničke prakse te opis poslova radnog mjesta vježbenika u pravosudnim tijelima propisani su Zakonom o vježbenicima u pravosudnim tijelima i pravosudnom ispitu („Narodne novine“, broj </w:t>
      </w:r>
      <w:r w:rsidRPr="00E46A20">
        <w:rPr>
          <w:bCs/>
          <w:szCs w:val="24"/>
        </w:rPr>
        <w:t xml:space="preserve">14/19), Pravilnikom o postupku prijma vježbenika u pravosudna tijela </w:t>
      </w:r>
      <w:r w:rsidRPr="00E46A20">
        <w:rPr>
          <w:bCs/>
          <w:color w:val="000000"/>
          <w:szCs w:val="24"/>
        </w:rPr>
        <w:t xml:space="preserve">(„Narodne novine“, broj </w:t>
      </w:r>
      <w:r w:rsidRPr="00E46A20">
        <w:rPr>
          <w:bCs/>
          <w:szCs w:val="24"/>
        </w:rPr>
        <w:t xml:space="preserve">106/19) i Pravilnikom o stručnom obrazovanju vježbenika u pravosudnim tijelima </w:t>
      </w:r>
      <w:r w:rsidRPr="00E46A20">
        <w:rPr>
          <w:bCs/>
          <w:color w:val="000000"/>
          <w:szCs w:val="24"/>
        </w:rPr>
        <w:t xml:space="preserve">(„Narodne novine“, broj </w:t>
      </w:r>
      <w:r w:rsidRPr="00E46A20">
        <w:rPr>
          <w:bCs/>
          <w:szCs w:val="24"/>
        </w:rPr>
        <w:t>39/20).</w:t>
      </w:r>
    </w:p>
    <w:p w14:paraId="0136146A" w14:textId="77777777" w:rsidR="00E46A20" w:rsidRPr="00E46A20" w:rsidRDefault="00E46A20" w:rsidP="00E46A20">
      <w:pPr>
        <w:spacing w:line="240" w:lineRule="auto"/>
        <w:jc w:val="both"/>
        <w:rPr>
          <w:szCs w:val="24"/>
        </w:rPr>
      </w:pPr>
    </w:p>
    <w:p w14:paraId="12B9D9B0" w14:textId="77777777" w:rsidR="00E46A20" w:rsidRPr="00E46A20" w:rsidRDefault="00E46A20" w:rsidP="00E46A20">
      <w:pPr>
        <w:spacing w:beforeLines="40" w:before="96" w:afterLines="40" w:after="96" w:line="240" w:lineRule="auto"/>
        <w:ind w:firstLine="1416"/>
        <w:jc w:val="both"/>
        <w:rPr>
          <w:szCs w:val="24"/>
        </w:rPr>
      </w:pPr>
      <w:r w:rsidRPr="00E46A20">
        <w:rPr>
          <w:szCs w:val="24"/>
        </w:rPr>
        <w:t>Stručno obrazovanje vježbenika u pravosudnim tijelima sastoji se od vježbeničke prakse u pravosudnim tijelima i od sudjelovanja u stručnim radionicama Pravosudne akademije, s ciljem stjecanja uvjeta za polaganje pravosudnog ispita i stručnog osposobljavanja vježbenika za samostalno obavljanje poslova pred pravosudnim tijelima omogućavanjem uvida u organizaciju i funkcioniranje pravosudnih tijela te profesionalni rad pravosudnih dužnosnika.</w:t>
      </w:r>
    </w:p>
    <w:p w14:paraId="7EE0EABC" w14:textId="77777777" w:rsidR="00E46A20" w:rsidRPr="00E46A20" w:rsidRDefault="00E46A20" w:rsidP="00E46A20">
      <w:pPr>
        <w:spacing w:beforeLines="40" w:before="96" w:afterLines="40" w:after="96" w:line="240" w:lineRule="auto"/>
        <w:ind w:firstLine="1416"/>
        <w:jc w:val="both"/>
        <w:rPr>
          <w:szCs w:val="24"/>
        </w:rPr>
      </w:pPr>
    </w:p>
    <w:p w14:paraId="159A23AD" w14:textId="77777777" w:rsidR="00E46A20" w:rsidRPr="00E46A20" w:rsidRDefault="00E46A20" w:rsidP="00E46A20">
      <w:pPr>
        <w:spacing w:beforeLines="40" w:before="96" w:afterLines="40" w:after="96" w:line="240" w:lineRule="auto"/>
        <w:ind w:firstLine="1416"/>
        <w:jc w:val="both"/>
        <w:rPr>
          <w:szCs w:val="24"/>
        </w:rPr>
      </w:pPr>
      <w:r w:rsidRPr="00E46A20">
        <w:rPr>
          <w:szCs w:val="24"/>
        </w:rPr>
        <w:t>Tijekom vježbeničke prakse sudački vježbenik dužan je provesti najmanje četiri mjeseca u građanskom prvostupanjskom odjelu, dva mjeseca u kaznenom prvostupanjskom odjelu, po jedan mjesec u drugostupanjskom građanskom i drugostupanjskom kaznenom odjelu, po jedan mjesec u trgovačkom i upravnom sudu te dva mjeseca u državnom odvjetništvu. Vrijeme do ispunjavanja uvjeta za polaganje pravosudnog ispita vježbenik će provesti prema rasporedu čelnika pravosudnog tijela u koje je raspoređen.</w:t>
      </w:r>
      <w:r w:rsidRPr="00E46A20">
        <w:rPr>
          <w:szCs w:val="24"/>
        </w:rPr>
        <w:br/>
      </w:r>
    </w:p>
    <w:p w14:paraId="555758F9" w14:textId="77777777" w:rsidR="00E46A20" w:rsidRPr="00E46A20" w:rsidRDefault="00E46A20" w:rsidP="00E46A20">
      <w:pPr>
        <w:spacing w:line="240" w:lineRule="auto"/>
        <w:ind w:firstLine="1416"/>
        <w:jc w:val="both"/>
        <w:rPr>
          <w:szCs w:val="24"/>
        </w:rPr>
      </w:pPr>
      <w:r w:rsidRPr="00E46A20">
        <w:rPr>
          <w:szCs w:val="24"/>
        </w:rPr>
        <w:t xml:space="preserve">Tijekom vježbeničke prakse </w:t>
      </w:r>
      <w:proofErr w:type="spellStart"/>
      <w:r w:rsidRPr="00E46A20">
        <w:rPr>
          <w:szCs w:val="24"/>
        </w:rPr>
        <w:t>državnoodvjetnički</w:t>
      </w:r>
      <w:proofErr w:type="spellEnd"/>
      <w:r w:rsidRPr="00E46A20">
        <w:rPr>
          <w:szCs w:val="24"/>
        </w:rPr>
        <w:t xml:space="preserve"> vježbenik dužan je provesti najmanje deset mjeseci prakse u sudu, od čega po tri mjeseca u građanskom prvostupanjskom </w:t>
      </w:r>
      <w:r w:rsidRPr="00E46A20">
        <w:rPr>
          <w:szCs w:val="24"/>
        </w:rPr>
        <w:lastRenderedPageBreak/>
        <w:t xml:space="preserve">odjelu i u kaznenom prvostupanjskom odjelu, po jedan mjesec u drugostupanjskom građanskom i kaznenom odjelu te po jedan mjesec u trgovačkom i upravnom sudu. Vrijeme do ispunjavanja uvjeta za polaganje pravosudnog ispita vježbenik će provesti prema rasporedu čelnika pravosudnog tijela u koje je raspoređen.  </w:t>
      </w:r>
    </w:p>
    <w:p w14:paraId="12FD19FB" w14:textId="77777777" w:rsidR="00E46A20" w:rsidRPr="00E46A20" w:rsidRDefault="00E46A20" w:rsidP="00E46A20">
      <w:pPr>
        <w:spacing w:beforeLines="40" w:before="96" w:afterLines="40" w:after="96" w:line="240" w:lineRule="auto"/>
        <w:ind w:firstLine="1416"/>
        <w:jc w:val="both"/>
        <w:rPr>
          <w:szCs w:val="24"/>
        </w:rPr>
      </w:pPr>
    </w:p>
    <w:p w14:paraId="12DA7DA4" w14:textId="77777777" w:rsidR="00E46A20" w:rsidRPr="00E46A20" w:rsidRDefault="00E46A20" w:rsidP="00E46A20">
      <w:pPr>
        <w:spacing w:beforeLines="40" w:before="96" w:afterLines="40" w:after="96" w:line="240" w:lineRule="auto"/>
        <w:ind w:firstLine="1416"/>
        <w:jc w:val="both"/>
        <w:rPr>
          <w:szCs w:val="24"/>
        </w:rPr>
      </w:pPr>
      <w:r w:rsidRPr="00E46A20">
        <w:rPr>
          <w:szCs w:val="24"/>
        </w:rPr>
        <w:t xml:space="preserve">Stručne radionice iz pojedinih pravnih područja u ukupnom trajanju od dva mjeseca organizira Pravosudna akademija radi stjecanja vještina za rješavanje praktičnih poslova iz djelokruga rada sudova i državnog odvjetništva. </w:t>
      </w:r>
    </w:p>
    <w:p w14:paraId="6312ACAE" w14:textId="77777777" w:rsidR="00E46A20" w:rsidRPr="00E46A20" w:rsidRDefault="00E46A20" w:rsidP="00E46A20">
      <w:pPr>
        <w:spacing w:line="240" w:lineRule="auto"/>
        <w:jc w:val="both"/>
        <w:rPr>
          <w:color w:val="C00000"/>
          <w:szCs w:val="24"/>
        </w:rPr>
      </w:pPr>
      <w:r w:rsidRPr="00E46A20">
        <w:rPr>
          <w:szCs w:val="24"/>
        </w:rPr>
        <w:t xml:space="preserve"> </w:t>
      </w:r>
      <w:r w:rsidRPr="00E46A20">
        <w:rPr>
          <w:szCs w:val="24"/>
        </w:rPr>
        <w:tab/>
      </w:r>
    </w:p>
    <w:p w14:paraId="5E778093" w14:textId="77777777" w:rsidR="00E46A20" w:rsidRPr="00E46A20" w:rsidRDefault="00E46A20" w:rsidP="00E46A20">
      <w:pPr>
        <w:spacing w:line="240" w:lineRule="auto"/>
        <w:ind w:firstLine="1416"/>
        <w:jc w:val="both"/>
        <w:rPr>
          <w:szCs w:val="24"/>
        </w:rPr>
      </w:pPr>
      <w:r w:rsidRPr="00E46A20">
        <w:rPr>
          <w:szCs w:val="24"/>
        </w:rPr>
        <w:t xml:space="preserve">Uvjete za polaganje pravosudnog ispita sudački i </w:t>
      </w:r>
      <w:proofErr w:type="spellStart"/>
      <w:r w:rsidRPr="00E46A20">
        <w:rPr>
          <w:szCs w:val="24"/>
        </w:rPr>
        <w:t>državnoodvjetnički</w:t>
      </w:r>
      <w:proofErr w:type="spellEnd"/>
      <w:r w:rsidRPr="00E46A20">
        <w:rPr>
          <w:szCs w:val="24"/>
        </w:rPr>
        <w:t xml:space="preserve"> vježbenici ispunjavaju nakon 18 mjeseci vježbe i izvršenog programa stručnih radionica u Pravosudnoj akademiji.</w:t>
      </w:r>
    </w:p>
    <w:p w14:paraId="298C80CA" w14:textId="77777777" w:rsidR="00E46A20" w:rsidRPr="00E46A20" w:rsidRDefault="00E46A20" w:rsidP="00E46A20">
      <w:pPr>
        <w:spacing w:line="240" w:lineRule="auto"/>
        <w:ind w:firstLine="1416"/>
        <w:rPr>
          <w:szCs w:val="24"/>
        </w:rPr>
      </w:pPr>
      <w:r w:rsidRPr="00E46A20">
        <w:rPr>
          <w:szCs w:val="24"/>
        </w:rPr>
        <w:br/>
      </w:r>
    </w:p>
    <w:p w14:paraId="0E3582C1" w14:textId="77777777" w:rsidR="00E46A20" w:rsidRPr="00E46A20" w:rsidRDefault="00E46A20" w:rsidP="00E46A20">
      <w:pPr>
        <w:spacing w:line="240" w:lineRule="auto"/>
        <w:jc w:val="center"/>
        <w:rPr>
          <w:bCs/>
          <w:szCs w:val="24"/>
        </w:rPr>
      </w:pPr>
      <w:r w:rsidRPr="00E46A20">
        <w:rPr>
          <w:szCs w:val="24"/>
        </w:rPr>
        <w:t>2. PODACI O PLAĆI</w:t>
      </w:r>
    </w:p>
    <w:p w14:paraId="35E5D086" w14:textId="77777777" w:rsidR="00E46A20" w:rsidRPr="00E46A20" w:rsidRDefault="00E46A20" w:rsidP="00E46A20">
      <w:pPr>
        <w:spacing w:line="240" w:lineRule="auto"/>
        <w:jc w:val="both"/>
        <w:rPr>
          <w:b/>
          <w:i/>
          <w:color w:val="FF0000"/>
          <w:szCs w:val="24"/>
          <w:u w:val="single"/>
        </w:rPr>
      </w:pPr>
    </w:p>
    <w:p w14:paraId="4C7D772D" w14:textId="77777777" w:rsidR="00E46A20" w:rsidRPr="00E46A20" w:rsidRDefault="00E46A20" w:rsidP="00E46A20">
      <w:pPr>
        <w:spacing w:line="240" w:lineRule="auto"/>
        <w:ind w:firstLine="1416"/>
        <w:jc w:val="both"/>
        <w:rPr>
          <w:szCs w:val="24"/>
        </w:rPr>
      </w:pPr>
      <w:r w:rsidRPr="00E46A20">
        <w:rPr>
          <w:szCs w:val="24"/>
        </w:rPr>
        <w:t>Plaću sudačkog/</w:t>
      </w:r>
      <w:proofErr w:type="spellStart"/>
      <w:r w:rsidRPr="00E46A20">
        <w:rPr>
          <w:szCs w:val="24"/>
        </w:rPr>
        <w:t>državnoodvjetničkog</w:t>
      </w:r>
      <w:proofErr w:type="spellEnd"/>
      <w:r w:rsidRPr="00E46A20">
        <w:rPr>
          <w:szCs w:val="24"/>
        </w:rPr>
        <w:t xml:space="preserve"> vježbenika čini umnožak koeficijenta složenosti poslova radnog mjesta na koje je raspoređen i osnovice za obračun plaće, uvećan za 0,5% za svaku navršenu godinu radnog staža.</w:t>
      </w:r>
    </w:p>
    <w:p w14:paraId="0451D2AB" w14:textId="77777777" w:rsidR="00E46A20" w:rsidRPr="00E46A20" w:rsidRDefault="00E46A20" w:rsidP="00E46A20">
      <w:pPr>
        <w:spacing w:line="240" w:lineRule="auto"/>
        <w:ind w:firstLine="1416"/>
        <w:jc w:val="both"/>
        <w:rPr>
          <w:szCs w:val="24"/>
        </w:rPr>
      </w:pPr>
    </w:p>
    <w:p w14:paraId="520B8B04" w14:textId="77777777" w:rsidR="00E46A20" w:rsidRPr="00E46A20" w:rsidRDefault="00E46A20" w:rsidP="00E46A20">
      <w:pPr>
        <w:spacing w:line="240" w:lineRule="auto"/>
        <w:ind w:right="-88" w:firstLine="1416"/>
        <w:jc w:val="both"/>
        <w:rPr>
          <w:szCs w:val="24"/>
        </w:rPr>
      </w:pPr>
      <w:proofErr w:type="spellStart"/>
      <w:r w:rsidRPr="00E46A20">
        <w:rPr>
          <w:szCs w:val="24"/>
          <w:lang w:val="en-US"/>
        </w:rPr>
        <w:t>Visina</w:t>
      </w:r>
      <w:proofErr w:type="spellEnd"/>
      <w:r w:rsidRPr="00E46A20">
        <w:rPr>
          <w:szCs w:val="24"/>
          <w:lang w:val="en-US"/>
        </w:rPr>
        <w:t xml:space="preserve"> </w:t>
      </w:r>
      <w:proofErr w:type="spellStart"/>
      <w:r w:rsidRPr="00E46A20">
        <w:rPr>
          <w:szCs w:val="24"/>
          <w:lang w:val="en-US"/>
        </w:rPr>
        <w:t>koeficijenta</w:t>
      </w:r>
      <w:proofErr w:type="spellEnd"/>
      <w:r w:rsidRPr="00E46A20">
        <w:rPr>
          <w:szCs w:val="24"/>
          <w:lang w:val="en-US"/>
        </w:rPr>
        <w:t xml:space="preserve"> </w:t>
      </w:r>
      <w:proofErr w:type="spellStart"/>
      <w:r w:rsidRPr="00E46A20">
        <w:rPr>
          <w:szCs w:val="24"/>
          <w:lang w:val="en-US"/>
        </w:rPr>
        <w:t>složenosti</w:t>
      </w:r>
      <w:proofErr w:type="spellEnd"/>
      <w:r w:rsidRPr="00E46A20">
        <w:rPr>
          <w:szCs w:val="24"/>
          <w:lang w:val="en-US"/>
        </w:rPr>
        <w:t xml:space="preserve"> </w:t>
      </w:r>
      <w:proofErr w:type="spellStart"/>
      <w:r w:rsidRPr="00E46A20">
        <w:rPr>
          <w:szCs w:val="24"/>
          <w:lang w:val="en-US"/>
        </w:rPr>
        <w:t>poslova</w:t>
      </w:r>
      <w:proofErr w:type="spellEnd"/>
      <w:r w:rsidRPr="00E46A20">
        <w:rPr>
          <w:szCs w:val="24"/>
          <w:lang w:val="en-US"/>
        </w:rPr>
        <w:t xml:space="preserve"> za </w:t>
      </w:r>
      <w:proofErr w:type="spellStart"/>
      <w:r w:rsidRPr="00E46A20">
        <w:rPr>
          <w:szCs w:val="24"/>
          <w:lang w:val="en-US"/>
        </w:rPr>
        <w:t>radno</w:t>
      </w:r>
      <w:proofErr w:type="spellEnd"/>
      <w:r w:rsidRPr="00E46A20">
        <w:rPr>
          <w:szCs w:val="24"/>
          <w:lang w:val="en-US"/>
        </w:rPr>
        <w:t xml:space="preserve"> </w:t>
      </w:r>
      <w:proofErr w:type="spellStart"/>
      <w:r w:rsidRPr="00E46A20">
        <w:rPr>
          <w:szCs w:val="24"/>
          <w:lang w:val="en-US"/>
        </w:rPr>
        <w:t>mjesto</w:t>
      </w:r>
      <w:proofErr w:type="spellEnd"/>
      <w:r w:rsidRPr="00E46A20">
        <w:rPr>
          <w:szCs w:val="24"/>
          <w:lang w:val="en-US"/>
        </w:rPr>
        <w:t xml:space="preserve"> </w:t>
      </w:r>
      <w:proofErr w:type="spellStart"/>
      <w:r w:rsidRPr="00E46A20">
        <w:rPr>
          <w:szCs w:val="24"/>
          <w:lang w:val="en-US"/>
        </w:rPr>
        <w:t>vježbenika</w:t>
      </w:r>
      <w:proofErr w:type="spellEnd"/>
      <w:r w:rsidRPr="00E46A20">
        <w:rPr>
          <w:szCs w:val="24"/>
          <w:lang w:val="en-US"/>
        </w:rPr>
        <w:t xml:space="preserve"> </w:t>
      </w:r>
      <w:r w:rsidRPr="00E46A20">
        <w:rPr>
          <w:rFonts w:eastAsia="Calibri"/>
          <w:szCs w:val="24"/>
          <w:lang w:eastAsia="en-US"/>
        </w:rPr>
        <w:t>iznosi</w:t>
      </w:r>
      <w:r w:rsidRPr="00E46A20">
        <w:rPr>
          <w:szCs w:val="24"/>
          <w:lang w:val="en-US"/>
        </w:rPr>
        <w:t xml:space="preserve"> 85% </w:t>
      </w:r>
      <w:proofErr w:type="spellStart"/>
      <w:r w:rsidRPr="00E46A20">
        <w:rPr>
          <w:szCs w:val="24"/>
          <w:lang w:val="en-US"/>
        </w:rPr>
        <w:t>plaće</w:t>
      </w:r>
      <w:proofErr w:type="spellEnd"/>
      <w:r w:rsidRPr="00E46A20">
        <w:rPr>
          <w:szCs w:val="24"/>
          <w:lang w:val="en-US"/>
        </w:rPr>
        <w:t xml:space="preserve"> </w:t>
      </w:r>
      <w:proofErr w:type="spellStart"/>
      <w:r w:rsidRPr="00E46A20">
        <w:rPr>
          <w:szCs w:val="24"/>
          <w:lang w:val="en-US"/>
        </w:rPr>
        <w:t>poslova</w:t>
      </w:r>
      <w:proofErr w:type="spellEnd"/>
      <w:r w:rsidRPr="00E46A20">
        <w:rPr>
          <w:szCs w:val="24"/>
          <w:lang w:val="en-US"/>
        </w:rPr>
        <w:t xml:space="preserve"> </w:t>
      </w:r>
      <w:proofErr w:type="spellStart"/>
      <w:r w:rsidRPr="00E46A20">
        <w:rPr>
          <w:szCs w:val="24"/>
          <w:lang w:val="en-US"/>
        </w:rPr>
        <w:t>radnog</w:t>
      </w:r>
      <w:proofErr w:type="spellEnd"/>
      <w:r w:rsidRPr="00E46A20">
        <w:rPr>
          <w:szCs w:val="24"/>
          <w:lang w:val="en-US"/>
        </w:rPr>
        <w:t xml:space="preserve"> </w:t>
      </w:r>
      <w:proofErr w:type="spellStart"/>
      <w:r w:rsidRPr="00E46A20">
        <w:rPr>
          <w:szCs w:val="24"/>
          <w:lang w:val="en-US"/>
        </w:rPr>
        <w:t>mjesta</w:t>
      </w:r>
      <w:proofErr w:type="spellEnd"/>
      <w:r w:rsidRPr="00E46A20">
        <w:rPr>
          <w:szCs w:val="24"/>
          <w:lang w:val="en-US"/>
        </w:rPr>
        <w:t xml:space="preserve"> </w:t>
      </w:r>
      <w:proofErr w:type="spellStart"/>
      <w:r w:rsidRPr="00E46A20">
        <w:rPr>
          <w:szCs w:val="24"/>
          <w:lang w:val="en-US"/>
        </w:rPr>
        <w:t>najniže</w:t>
      </w:r>
      <w:proofErr w:type="spellEnd"/>
      <w:r w:rsidRPr="00E46A20">
        <w:rPr>
          <w:szCs w:val="24"/>
          <w:lang w:val="en-US"/>
        </w:rPr>
        <w:t xml:space="preserve"> </w:t>
      </w:r>
      <w:proofErr w:type="spellStart"/>
      <w:r w:rsidRPr="00E46A20">
        <w:rPr>
          <w:szCs w:val="24"/>
          <w:lang w:val="en-US"/>
        </w:rPr>
        <w:t>složenosti</w:t>
      </w:r>
      <w:proofErr w:type="spellEnd"/>
      <w:r w:rsidRPr="00E46A20">
        <w:rPr>
          <w:szCs w:val="24"/>
          <w:lang w:val="en-US"/>
        </w:rPr>
        <w:t xml:space="preserve"> </w:t>
      </w:r>
      <w:proofErr w:type="spellStart"/>
      <w:r w:rsidRPr="00E46A20">
        <w:rPr>
          <w:szCs w:val="24"/>
          <w:lang w:val="en-US"/>
        </w:rPr>
        <w:t>njegove</w:t>
      </w:r>
      <w:proofErr w:type="spellEnd"/>
      <w:r w:rsidRPr="00E46A20">
        <w:rPr>
          <w:szCs w:val="24"/>
          <w:lang w:val="en-US"/>
        </w:rPr>
        <w:t xml:space="preserve"> </w:t>
      </w:r>
      <w:proofErr w:type="spellStart"/>
      <w:r w:rsidRPr="00E46A20">
        <w:rPr>
          <w:szCs w:val="24"/>
          <w:lang w:val="en-US"/>
        </w:rPr>
        <w:t>vrste</w:t>
      </w:r>
      <w:proofErr w:type="spellEnd"/>
      <w:r w:rsidRPr="00E46A20">
        <w:rPr>
          <w:szCs w:val="24"/>
          <w:lang w:val="en-US"/>
        </w:rPr>
        <w:t xml:space="preserve"> </w:t>
      </w:r>
      <w:proofErr w:type="spellStart"/>
      <w:r w:rsidRPr="00E46A20">
        <w:rPr>
          <w:szCs w:val="24"/>
          <w:lang w:val="en-US"/>
        </w:rPr>
        <w:t>odnosno</w:t>
      </w:r>
      <w:proofErr w:type="spellEnd"/>
      <w:r w:rsidRPr="00E46A20">
        <w:rPr>
          <w:szCs w:val="24"/>
          <w:lang w:val="en-US"/>
        </w:rPr>
        <w:t xml:space="preserve"> </w:t>
      </w:r>
      <w:r w:rsidRPr="00E46A20">
        <w:rPr>
          <w:szCs w:val="24"/>
        </w:rPr>
        <w:t>koeficijenta složenosti poslova za radno mjesto I. vrste stručnog suradnika u sudu/državnom odvjetništvu koji iznosi 1,309,</w:t>
      </w:r>
      <w:r w:rsidRPr="00E46A20">
        <w:rPr>
          <w:szCs w:val="24"/>
          <w:lang w:val="en-US"/>
        </w:rPr>
        <w:t xml:space="preserve"> </w:t>
      </w:r>
      <w:proofErr w:type="spellStart"/>
      <w:r w:rsidRPr="00E46A20">
        <w:rPr>
          <w:szCs w:val="24"/>
          <w:lang w:val="en-US"/>
        </w:rPr>
        <w:t>sukladno</w:t>
      </w:r>
      <w:proofErr w:type="spellEnd"/>
      <w:r w:rsidRPr="00E46A20">
        <w:rPr>
          <w:szCs w:val="24"/>
          <w:lang w:val="en-US"/>
        </w:rPr>
        <w:t xml:space="preserve"> </w:t>
      </w:r>
      <w:proofErr w:type="spellStart"/>
      <w:r w:rsidRPr="00E46A20">
        <w:rPr>
          <w:szCs w:val="24"/>
          <w:lang w:val="en-US"/>
        </w:rPr>
        <w:t>članku</w:t>
      </w:r>
      <w:proofErr w:type="spellEnd"/>
      <w:r w:rsidRPr="00E46A20">
        <w:rPr>
          <w:szCs w:val="24"/>
          <w:lang w:val="en-US"/>
        </w:rPr>
        <w:t xml:space="preserve"> </w:t>
      </w:r>
      <w:r w:rsidRPr="00E46A20">
        <w:rPr>
          <w:rFonts w:eastAsia="Calibri"/>
          <w:szCs w:val="24"/>
          <w:lang w:eastAsia="en-US"/>
        </w:rPr>
        <w:t xml:space="preserve">110. Zakona o državnim službenicima i namještenicima („Narodne novine“, broj 27/01), u svezi s člankom 144. Zakona o državnim službenicima </w:t>
      </w:r>
      <w:r w:rsidRPr="00E46A20">
        <w:rPr>
          <w:bCs/>
          <w:szCs w:val="24"/>
        </w:rPr>
        <w:t xml:space="preserve">(„Narodne novine“, broj 49/12 - pročišćeni tekst, 37/13, 38/13, 1/15, </w:t>
      </w:r>
      <w:r w:rsidRPr="00E46A20">
        <w:rPr>
          <w:rFonts w:eastAsia="Calibri"/>
          <w:bCs/>
          <w:szCs w:val="24"/>
        </w:rPr>
        <w:t>138/15, 61/17, 70/19 i 98/19</w:t>
      </w:r>
      <w:r w:rsidRPr="00E46A20">
        <w:rPr>
          <w:bCs/>
          <w:szCs w:val="24"/>
        </w:rPr>
        <w:t xml:space="preserve">) te </w:t>
      </w:r>
      <w:r w:rsidRPr="00E46A20">
        <w:rPr>
          <w:szCs w:val="24"/>
        </w:rPr>
        <w:t xml:space="preserve">člancima 9. i 10. Uredbe o nazivima radnih mjesta i koeficijentima složenosti poslova u državnoj upravi </w:t>
      </w:r>
      <w:r w:rsidRPr="00E46A20">
        <w:rPr>
          <w:szCs w:val="24"/>
          <w:lang w:val="en-US"/>
        </w:rPr>
        <w:t>(„</w:t>
      </w:r>
      <w:proofErr w:type="spellStart"/>
      <w:r w:rsidRPr="00E46A20">
        <w:rPr>
          <w:szCs w:val="24"/>
          <w:lang w:val="en-US"/>
        </w:rPr>
        <w:t>Narodne</w:t>
      </w:r>
      <w:proofErr w:type="spellEnd"/>
      <w:r w:rsidRPr="00E46A20">
        <w:rPr>
          <w:szCs w:val="24"/>
          <w:lang w:val="en-US"/>
        </w:rPr>
        <w:t xml:space="preserve"> </w:t>
      </w:r>
      <w:proofErr w:type="spellStart"/>
      <w:r w:rsidRPr="00E46A20">
        <w:rPr>
          <w:szCs w:val="24"/>
          <w:lang w:val="en-US"/>
        </w:rPr>
        <w:t>novine</w:t>
      </w:r>
      <w:proofErr w:type="spellEnd"/>
      <w:r w:rsidRPr="00E46A20">
        <w:rPr>
          <w:szCs w:val="24"/>
          <w:lang w:val="en-US"/>
        </w:rPr>
        <w:t xml:space="preserve">“, </w:t>
      </w:r>
      <w:proofErr w:type="spellStart"/>
      <w:r w:rsidRPr="00E46A20">
        <w:rPr>
          <w:szCs w:val="24"/>
          <w:lang w:val="en-US"/>
        </w:rPr>
        <w:t>broj</w:t>
      </w:r>
      <w:proofErr w:type="spellEnd"/>
      <w:r w:rsidRPr="00E46A20">
        <w:rPr>
          <w:szCs w:val="24"/>
          <w:lang w:val="en-US"/>
        </w:rPr>
        <w:t xml:space="preserve"> 37/2001 ... </w:t>
      </w:r>
      <w:proofErr w:type="spellStart"/>
      <w:r w:rsidRPr="00E46A20">
        <w:rPr>
          <w:szCs w:val="24"/>
          <w:lang w:val="en-US"/>
        </w:rPr>
        <w:t>i</w:t>
      </w:r>
      <w:proofErr w:type="spellEnd"/>
      <w:r w:rsidRPr="00E46A20">
        <w:rPr>
          <w:szCs w:val="24"/>
          <w:lang w:val="en-US"/>
        </w:rPr>
        <w:t xml:space="preserve"> 73/19</w:t>
      </w:r>
      <w:r w:rsidRPr="00E46A20">
        <w:rPr>
          <w:bCs/>
          <w:szCs w:val="24"/>
          <w:lang w:val="en-US"/>
        </w:rPr>
        <w:t>)</w:t>
      </w:r>
      <w:r w:rsidRPr="00E46A20">
        <w:rPr>
          <w:szCs w:val="24"/>
        </w:rPr>
        <w:t>.</w:t>
      </w:r>
    </w:p>
    <w:p w14:paraId="1FE0E854" w14:textId="77777777" w:rsidR="00E46A20" w:rsidRPr="00E46A20" w:rsidRDefault="00E46A20" w:rsidP="00E46A20">
      <w:pPr>
        <w:spacing w:line="240" w:lineRule="auto"/>
        <w:ind w:right="-88"/>
        <w:jc w:val="both"/>
        <w:rPr>
          <w:szCs w:val="24"/>
        </w:rPr>
      </w:pPr>
    </w:p>
    <w:p w14:paraId="123DAA1F" w14:textId="77777777" w:rsidR="00E46A20" w:rsidRPr="00E46A20" w:rsidRDefault="00E46A20" w:rsidP="00E46A20">
      <w:pPr>
        <w:spacing w:line="240" w:lineRule="auto"/>
        <w:ind w:right="-88" w:firstLine="1416"/>
        <w:jc w:val="both"/>
        <w:rPr>
          <w:szCs w:val="24"/>
          <w:lang w:val="en-US"/>
        </w:rPr>
      </w:pPr>
      <w:r w:rsidRPr="00E46A20">
        <w:rPr>
          <w:szCs w:val="24"/>
        </w:rPr>
        <w:t xml:space="preserve">Stoga </w:t>
      </w:r>
      <w:r w:rsidRPr="00E46A20">
        <w:rPr>
          <w:rFonts w:eastAsia="Calibri"/>
          <w:szCs w:val="24"/>
          <w:lang w:eastAsia="en-US"/>
        </w:rPr>
        <w:t>koeficijent složenosti poslova za radno mjesto sudačkog /</w:t>
      </w:r>
      <w:proofErr w:type="spellStart"/>
      <w:r w:rsidRPr="00E46A20">
        <w:rPr>
          <w:rFonts w:eastAsia="Calibri"/>
          <w:szCs w:val="24"/>
          <w:lang w:eastAsia="en-US"/>
        </w:rPr>
        <w:t>državnoodvjetničkog</w:t>
      </w:r>
      <w:proofErr w:type="spellEnd"/>
      <w:r w:rsidRPr="00E46A20">
        <w:rPr>
          <w:rFonts w:eastAsia="Calibri"/>
          <w:szCs w:val="24"/>
          <w:lang w:eastAsia="en-US"/>
        </w:rPr>
        <w:t xml:space="preserve"> vježbenika iznosi </w:t>
      </w:r>
      <w:r w:rsidRPr="00E46A20">
        <w:rPr>
          <w:rFonts w:eastAsia="Calibri"/>
          <w:b/>
          <w:szCs w:val="24"/>
          <w:lang w:eastAsia="en-US"/>
        </w:rPr>
        <w:t>1,113</w:t>
      </w:r>
      <w:r w:rsidRPr="00E46A20">
        <w:rPr>
          <w:rFonts w:eastAsia="Calibri"/>
          <w:szCs w:val="24"/>
          <w:lang w:eastAsia="en-US"/>
        </w:rPr>
        <w:t>.</w:t>
      </w:r>
    </w:p>
    <w:p w14:paraId="62B4254D" w14:textId="77777777" w:rsidR="00E46A20" w:rsidRPr="00E46A20" w:rsidRDefault="00E46A20" w:rsidP="00E46A20">
      <w:pPr>
        <w:spacing w:line="240" w:lineRule="auto"/>
        <w:rPr>
          <w:szCs w:val="24"/>
        </w:rPr>
      </w:pPr>
    </w:p>
    <w:p w14:paraId="3407E419" w14:textId="77777777" w:rsidR="00E46A20" w:rsidRPr="00E46A20" w:rsidRDefault="00E46A20" w:rsidP="00E46A20">
      <w:pPr>
        <w:spacing w:line="240" w:lineRule="auto"/>
        <w:jc w:val="both"/>
        <w:rPr>
          <w:color w:val="FF0000"/>
          <w:szCs w:val="24"/>
        </w:rPr>
      </w:pPr>
      <w:r w:rsidRPr="00E46A20">
        <w:rPr>
          <w:color w:val="FF0000"/>
          <w:szCs w:val="24"/>
        </w:rPr>
        <w:t xml:space="preserve">  </w:t>
      </w:r>
    </w:p>
    <w:p w14:paraId="2DC666DA" w14:textId="77777777" w:rsidR="00E46A20" w:rsidRPr="00E46A20" w:rsidRDefault="00E46A20" w:rsidP="00E46A20">
      <w:pPr>
        <w:numPr>
          <w:ilvl w:val="0"/>
          <w:numId w:val="18"/>
        </w:numPr>
        <w:spacing w:after="160" w:line="240" w:lineRule="auto"/>
        <w:jc w:val="center"/>
        <w:rPr>
          <w:szCs w:val="24"/>
          <w:u w:val="single"/>
        </w:rPr>
      </w:pPr>
      <w:r w:rsidRPr="00E46A20">
        <w:rPr>
          <w:szCs w:val="24"/>
        </w:rPr>
        <w:t>NAČIN VREDNOVANJA KANDIDATA ZA VJEŽBENIKE U PRAVOSUDNIM TIJELIMA</w:t>
      </w:r>
    </w:p>
    <w:p w14:paraId="2F6495E2" w14:textId="77777777" w:rsidR="00E46A20" w:rsidRPr="00E46A20" w:rsidRDefault="00E46A20" w:rsidP="00E46A20">
      <w:pPr>
        <w:spacing w:line="240" w:lineRule="auto"/>
        <w:jc w:val="center"/>
        <w:rPr>
          <w:szCs w:val="24"/>
        </w:rPr>
      </w:pPr>
    </w:p>
    <w:p w14:paraId="40D6CD07" w14:textId="77777777" w:rsidR="00E46A20" w:rsidRPr="00E46A20" w:rsidRDefault="00E46A20" w:rsidP="00E46A20">
      <w:pPr>
        <w:spacing w:line="240" w:lineRule="auto"/>
        <w:rPr>
          <w:szCs w:val="24"/>
          <w:u w:val="single"/>
        </w:rPr>
      </w:pPr>
      <w:r w:rsidRPr="00E46A20">
        <w:rPr>
          <w:szCs w:val="24"/>
        </w:rPr>
        <w:t>3.1.</w:t>
      </w:r>
      <w:r w:rsidRPr="00E46A20">
        <w:rPr>
          <w:szCs w:val="24"/>
        </w:rPr>
        <w:tab/>
        <w:t xml:space="preserve">Način utvrđivanja broja bodova </w:t>
      </w:r>
    </w:p>
    <w:p w14:paraId="0B845BCA" w14:textId="77777777" w:rsidR="00E46A20" w:rsidRPr="00E46A20" w:rsidRDefault="00E46A20" w:rsidP="00E46A20">
      <w:pPr>
        <w:spacing w:line="240" w:lineRule="auto"/>
        <w:jc w:val="center"/>
        <w:rPr>
          <w:szCs w:val="24"/>
        </w:rPr>
      </w:pPr>
    </w:p>
    <w:p w14:paraId="6FC20A7A" w14:textId="0C6884D6" w:rsidR="00E46A20" w:rsidRPr="00E46A20" w:rsidRDefault="00E46A20" w:rsidP="00E46A20">
      <w:pPr>
        <w:spacing w:line="240" w:lineRule="auto"/>
        <w:ind w:firstLine="1416"/>
        <w:jc w:val="both"/>
        <w:rPr>
          <w:szCs w:val="24"/>
        </w:rPr>
      </w:pPr>
      <w:r w:rsidRPr="00E46A20">
        <w:rPr>
          <w:szCs w:val="24"/>
        </w:rPr>
        <w:t xml:space="preserve">Pravilnikom o postupku prijma </w:t>
      </w:r>
      <w:r w:rsidR="008D5BF4">
        <w:rPr>
          <w:szCs w:val="24"/>
        </w:rPr>
        <w:t xml:space="preserve">vježbenika u pravosudna tijela </w:t>
      </w:r>
      <w:r w:rsidRPr="00E46A20">
        <w:rPr>
          <w:szCs w:val="24"/>
        </w:rPr>
        <w:t xml:space="preserve">propisan je način utvrđivanja broja bodova i vrednovanja kandidata te sadržaj pisane provjere znanja i strukturiranog razgovora u postupku prijma vježbenika u pravosudna tijela. </w:t>
      </w:r>
    </w:p>
    <w:p w14:paraId="0218F012" w14:textId="77777777" w:rsidR="00E46A20" w:rsidRPr="00E46A20" w:rsidRDefault="00E46A20" w:rsidP="00E46A20">
      <w:pPr>
        <w:spacing w:line="240" w:lineRule="auto"/>
        <w:ind w:firstLine="1416"/>
        <w:jc w:val="both"/>
        <w:rPr>
          <w:szCs w:val="24"/>
        </w:rPr>
      </w:pPr>
    </w:p>
    <w:p w14:paraId="11BE9EDC" w14:textId="77777777" w:rsidR="00E46A20" w:rsidRPr="00E46A20" w:rsidRDefault="00E46A20" w:rsidP="00E46A20">
      <w:pPr>
        <w:spacing w:line="240" w:lineRule="auto"/>
        <w:ind w:firstLine="1416"/>
        <w:jc w:val="both"/>
        <w:rPr>
          <w:szCs w:val="24"/>
        </w:rPr>
      </w:pPr>
      <w:r w:rsidRPr="00E46A20">
        <w:rPr>
          <w:szCs w:val="24"/>
        </w:rPr>
        <w:t>U postupku odabira kandidat može ostvariti najviše 100 bodova.</w:t>
      </w:r>
    </w:p>
    <w:p w14:paraId="58E119DE" w14:textId="77777777" w:rsidR="00E46A20" w:rsidRPr="00E46A20" w:rsidRDefault="00E46A20" w:rsidP="00E46A20">
      <w:pPr>
        <w:spacing w:before="100" w:beforeAutospacing="1" w:after="225" w:line="240" w:lineRule="auto"/>
        <w:ind w:firstLine="1417"/>
        <w:jc w:val="both"/>
        <w:rPr>
          <w:szCs w:val="24"/>
        </w:rPr>
      </w:pPr>
      <w:r w:rsidRPr="00E46A20">
        <w:rPr>
          <w:szCs w:val="24"/>
        </w:rPr>
        <w:t>Na osnovi rezultata završenog integriranog preddiplomskog i diplomskog sveučilišnog studija prava (dalje: studij prava) kandidat može ostvariti najviše 50 bodova.</w:t>
      </w:r>
    </w:p>
    <w:p w14:paraId="4EAA301D" w14:textId="77777777" w:rsidR="00E46A20" w:rsidRPr="00E46A20" w:rsidRDefault="00E46A20" w:rsidP="00E46A20">
      <w:pPr>
        <w:spacing w:before="100" w:beforeAutospacing="1" w:after="225" w:line="240" w:lineRule="auto"/>
        <w:ind w:firstLine="1416"/>
        <w:jc w:val="both"/>
        <w:rPr>
          <w:szCs w:val="24"/>
        </w:rPr>
      </w:pPr>
      <w:r w:rsidRPr="00E46A20">
        <w:rPr>
          <w:szCs w:val="24"/>
        </w:rPr>
        <w:lastRenderedPageBreak/>
        <w:t>Opći uspjeh ostvaren na studiju prava bodovno se vrednuje na način da se prosječna ocjena ostvarena na studiju, izražena cijelim brojem i jednom decimalom, množi sa brojem 10 i dobiveni broj predstavlja broj ostvarenih bodova.</w:t>
      </w:r>
    </w:p>
    <w:p w14:paraId="7204B9E6" w14:textId="77777777" w:rsidR="00E46A20" w:rsidRPr="00E46A20" w:rsidRDefault="00E46A20" w:rsidP="00E46A20">
      <w:pPr>
        <w:spacing w:before="100" w:beforeAutospacing="1" w:after="225" w:line="240" w:lineRule="auto"/>
        <w:ind w:firstLine="1416"/>
        <w:jc w:val="both"/>
        <w:rPr>
          <w:szCs w:val="24"/>
        </w:rPr>
      </w:pPr>
      <w:r w:rsidRPr="00E46A20">
        <w:rPr>
          <w:szCs w:val="24"/>
        </w:rPr>
        <w:t xml:space="preserve"> Povjerenstvo odlučuje u svakom pojedinom slučaju koji se broj bodova ostvaruje za završen sveučilišni diplomski studij prava u inozemstvu, vrednujući postignuti opći uspjeh na tom studiju primjenom gore navedenog kriterija.</w:t>
      </w:r>
    </w:p>
    <w:p w14:paraId="3A5CA5F0" w14:textId="77777777" w:rsidR="00E46A20" w:rsidRPr="00E46A20" w:rsidRDefault="00E46A20" w:rsidP="00E46A20">
      <w:pPr>
        <w:spacing w:before="100" w:beforeAutospacing="1" w:after="225" w:line="240" w:lineRule="auto"/>
        <w:ind w:firstLine="1416"/>
        <w:jc w:val="both"/>
        <w:rPr>
          <w:szCs w:val="24"/>
        </w:rPr>
      </w:pPr>
      <w:r w:rsidRPr="00E46A20">
        <w:rPr>
          <w:szCs w:val="24"/>
        </w:rPr>
        <w:t xml:space="preserve"> Kao opći uspjeh ostvaren na studiju prava vrednuju se i postignuća tijekom studija prava za koja kandidat može ostvariti ukupno najviše 5 bodova, i to za primljenu:</w:t>
      </w:r>
    </w:p>
    <w:p w14:paraId="0F56CBEC" w14:textId="77777777" w:rsidR="00E46A20" w:rsidRPr="00E46A20" w:rsidRDefault="00E46A20" w:rsidP="00E46A20">
      <w:pPr>
        <w:spacing w:line="240" w:lineRule="auto"/>
        <w:ind w:left="708" w:firstLine="708"/>
        <w:rPr>
          <w:szCs w:val="24"/>
        </w:rPr>
      </w:pPr>
      <w:r w:rsidRPr="00E46A20">
        <w:rPr>
          <w:szCs w:val="24"/>
        </w:rPr>
        <w:t>– Rektorovu nagradu 3 boda,</w:t>
      </w:r>
    </w:p>
    <w:p w14:paraId="0FD9C726" w14:textId="77777777" w:rsidR="00E46A20" w:rsidRPr="00E46A20" w:rsidRDefault="00E46A20" w:rsidP="00E46A20">
      <w:pPr>
        <w:spacing w:line="240" w:lineRule="auto"/>
        <w:ind w:left="708" w:firstLine="708"/>
        <w:rPr>
          <w:szCs w:val="24"/>
        </w:rPr>
      </w:pPr>
      <w:r w:rsidRPr="00E46A20">
        <w:rPr>
          <w:szCs w:val="24"/>
        </w:rPr>
        <w:t>– Dekanovu nagradu 2 boda.</w:t>
      </w:r>
    </w:p>
    <w:p w14:paraId="30B9A8F0" w14:textId="77777777" w:rsidR="00E46A20" w:rsidRPr="00E46A20" w:rsidRDefault="00E46A20" w:rsidP="00E46A20">
      <w:pPr>
        <w:spacing w:before="100" w:beforeAutospacing="1" w:after="225" w:line="240" w:lineRule="auto"/>
        <w:ind w:firstLine="1416"/>
        <w:jc w:val="both"/>
        <w:rPr>
          <w:szCs w:val="24"/>
        </w:rPr>
      </w:pPr>
      <w:r w:rsidRPr="00E46A20">
        <w:rPr>
          <w:szCs w:val="24"/>
        </w:rPr>
        <w:t>Kao opći uspjeh na poslijediplomskom studiju vrednuju se i slijedeća postignuća na poslijediplomskom studiju prava za koja kandidat može ostvariti najviše 5 bodova, i to za:</w:t>
      </w:r>
    </w:p>
    <w:p w14:paraId="5D92D880" w14:textId="77777777" w:rsidR="00E46A20" w:rsidRPr="00E46A20" w:rsidRDefault="00E46A20" w:rsidP="00E46A20">
      <w:pPr>
        <w:spacing w:line="240" w:lineRule="auto"/>
        <w:ind w:left="1416"/>
        <w:rPr>
          <w:szCs w:val="24"/>
        </w:rPr>
      </w:pPr>
      <w:r w:rsidRPr="00E46A20">
        <w:rPr>
          <w:szCs w:val="24"/>
        </w:rPr>
        <w:t>– završen sveučilišni doktorski studij prava 5 bodova,</w:t>
      </w:r>
    </w:p>
    <w:p w14:paraId="6588941E" w14:textId="77777777" w:rsidR="00E46A20" w:rsidRPr="00E46A20" w:rsidRDefault="00E46A20" w:rsidP="00E46A20">
      <w:pPr>
        <w:spacing w:line="240" w:lineRule="auto"/>
        <w:ind w:left="1416"/>
        <w:rPr>
          <w:szCs w:val="24"/>
        </w:rPr>
      </w:pPr>
      <w:r w:rsidRPr="00E46A20">
        <w:rPr>
          <w:szCs w:val="24"/>
        </w:rPr>
        <w:t>– završen specijalistički poslijediplomski studij 3 boda.</w:t>
      </w:r>
    </w:p>
    <w:p w14:paraId="43A73923" w14:textId="77777777" w:rsidR="00E46A20" w:rsidRPr="00E46A20" w:rsidRDefault="00E46A20" w:rsidP="00E46A20">
      <w:pPr>
        <w:spacing w:line="240" w:lineRule="auto"/>
        <w:jc w:val="center"/>
        <w:rPr>
          <w:szCs w:val="24"/>
        </w:rPr>
      </w:pPr>
    </w:p>
    <w:p w14:paraId="0147BF52" w14:textId="77777777" w:rsidR="00E46A20" w:rsidRPr="00E46A20" w:rsidRDefault="00E46A20" w:rsidP="00E46A20">
      <w:pPr>
        <w:spacing w:before="100" w:beforeAutospacing="1" w:after="225" w:line="240" w:lineRule="auto"/>
        <w:rPr>
          <w:szCs w:val="24"/>
        </w:rPr>
      </w:pPr>
      <w:r w:rsidRPr="00E46A20">
        <w:rPr>
          <w:szCs w:val="24"/>
        </w:rPr>
        <w:t>3.2.</w:t>
      </w:r>
      <w:r w:rsidRPr="00E46A20">
        <w:rPr>
          <w:szCs w:val="24"/>
        </w:rPr>
        <w:tab/>
      </w:r>
      <w:r w:rsidRPr="00E46A20">
        <w:rPr>
          <w:szCs w:val="24"/>
        </w:rPr>
        <w:tab/>
        <w:t>Pisana provjera znanja</w:t>
      </w:r>
    </w:p>
    <w:p w14:paraId="38836AD5" w14:textId="77777777" w:rsidR="00E46A20" w:rsidRPr="00E46A20" w:rsidRDefault="00E46A20" w:rsidP="00E46A20">
      <w:pPr>
        <w:spacing w:line="240" w:lineRule="auto"/>
        <w:ind w:firstLine="1416"/>
        <w:jc w:val="both"/>
        <w:rPr>
          <w:szCs w:val="24"/>
        </w:rPr>
      </w:pPr>
      <w:r w:rsidRPr="00E46A20">
        <w:rPr>
          <w:szCs w:val="24"/>
        </w:rPr>
        <w:t xml:space="preserve">Cilj pisane provjere znanja je ocijeniti sposobnost kandidata za prepoznavanje pravnih problema u pojedinim predmetima, predlaganje mogućih </w:t>
      </w:r>
      <w:proofErr w:type="spellStart"/>
      <w:r w:rsidRPr="00E46A20">
        <w:rPr>
          <w:szCs w:val="24"/>
        </w:rPr>
        <w:t>materijalnopravnih</w:t>
      </w:r>
      <w:proofErr w:type="spellEnd"/>
      <w:r w:rsidRPr="00E46A20">
        <w:rPr>
          <w:szCs w:val="24"/>
        </w:rPr>
        <w:t xml:space="preserve"> i </w:t>
      </w:r>
      <w:proofErr w:type="spellStart"/>
      <w:r w:rsidRPr="00E46A20">
        <w:rPr>
          <w:szCs w:val="24"/>
        </w:rPr>
        <w:t>postupovnih</w:t>
      </w:r>
      <w:proofErr w:type="spellEnd"/>
      <w:r w:rsidRPr="00E46A20">
        <w:rPr>
          <w:szCs w:val="24"/>
        </w:rPr>
        <w:t xml:space="preserve"> rješenja te sposobnost postupanja u uvjetima ograničenog vremena.</w:t>
      </w:r>
    </w:p>
    <w:p w14:paraId="24A63025" w14:textId="77777777" w:rsidR="00E46A20" w:rsidRPr="00E46A20" w:rsidRDefault="00E46A20" w:rsidP="00E46A20">
      <w:pPr>
        <w:spacing w:before="100" w:beforeAutospacing="1" w:after="225" w:line="240" w:lineRule="auto"/>
        <w:ind w:firstLine="1416"/>
        <w:jc w:val="both"/>
        <w:rPr>
          <w:szCs w:val="24"/>
        </w:rPr>
      </w:pPr>
      <w:r w:rsidRPr="00E46A20">
        <w:rPr>
          <w:szCs w:val="24"/>
        </w:rPr>
        <w:t>Na temelju rezultata pisane provjere znanja kandidat može ostvariti najviše 40 bodova.</w:t>
      </w:r>
    </w:p>
    <w:p w14:paraId="1691B451" w14:textId="77777777" w:rsidR="00E46A20" w:rsidRPr="00E46A20" w:rsidRDefault="00E46A20" w:rsidP="00E46A20">
      <w:pPr>
        <w:spacing w:line="240" w:lineRule="auto"/>
        <w:ind w:left="708" w:firstLine="708"/>
        <w:rPr>
          <w:szCs w:val="24"/>
        </w:rPr>
      </w:pPr>
      <w:r w:rsidRPr="00E46A20">
        <w:rPr>
          <w:szCs w:val="24"/>
        </w:rPr>
        <w:t>Na pisanoj provjeri znanja kandidat mora:</w:t>
      </w:r>
    </w:p>
    <w:p w14:paraId="6EBF35BB" w14:textId="77777777" w:rsidR="00E46A20" w:rsidRPr="00E46A20" w:rsidRDefault="00E46A20" w:rsidP="00E46A20">
      <w:pPr>
        <w:spacing w:line="240" w:lineRule="auto"/>
        <w:ind w:left="708" w:firstLine="708"/>
        <w:jc w:val="both"/>
        <w:rPr>
          <w:szCs w:val="24"/>
        </w:rPr>
      </w:pPr>
      <w:r w:rsidRPr="00E46A20">
        <w:rPr>
          <w:szCs w:val="24"/>
        </w:rPr>
        <w:t>– odabrati među predloženim odgovorima (višestruki odabir) ili</w:t>
      </w:r>
    </w:p>
    <w:p w14:paraId="387D2A84" w14:textId="77777777" w:rsidR="00E46A20" w:rsidRPr="00E46A20" w:rsidRDefault="00E46A20" w:rsidP="00E46A20">
      <w:pPr>
        <w:spacing w:line="240" w:lineRule="auto"/>
        <w:ind w:left="708" w:firstLine="708"/>
        <w:rPr>
          <w:szCs w:val="24"/>
        </w:rPr>
      </w:pPr>
      <w:r w:rsidRPr="00E46A20">
        <w:rPr>
          <w:szCs w:val="24"/>
        </w:rPr>
        <w:t>– dopuniti ponuđenu tvrdnju ključnim pojmom koji nedostaje.</w:t>
      </w:r>
    </w:p>
    <w:p w14:paraId="34D4CCDD" w14:textId="77777777" w:rsidR="00E46A20" w:rsidRPr="00E46A20" w:rsidRDefault="00E46A20" w:rsidP="00E46A20">
      <w:pPr>
        <w:spacing w:line="240" w:lineRule="auto"/>
        <w:rPr>
          <w:szCs w:val="24"/>
        </w:rPr>
      </w:pPr>
    </w:p>
    <w:p w14:paraId="62C41BFD" w14:textId="77777777" w:rsidR="00E46A20" w:rsidRPr="00E46A20" w:rsidRDefault="00E46A20" w:rsidP="00E46A20">
      <w:pPr>
        <w:spacing w:line="240" w:lineRule="auto"/>
        <w:ind w:firstLine="1416"/>
        <w:jc w:val="both"/>
        <w:rPr>
          <w:szCs w:val="24"/>
        </w:rPr>
      </w:pPr>
      <w:r w:rsidRPr="00E46A20">
        <w:rPr>
          <w:szCs w:val="24"/>
        </w:rPr>
        <w:t>Kandidati pisanu provjeru znanja izrađuju pod osobnom zaporkom koju određuje Povjerenstvo za izbor vježbenika (u daljnjem tekstu: Povjerenstvo). Članovi povjerenstva koji ocjenjuju pisanu provjeru znanja ne smiju znati identitet kandidata.</w:t>
      </w:r>
    </w:p>
    <w:p w14:paraId="1872B3B8" w14:textId="77777777" w:rsidR="00E46A20" w:rsidRPr="00E46A20" w:rsidRDefault="00E46A20" w:rsidP="00E46A20">
      <w:pPr>
        <w:spacing w:line="240" w:lineRule="auto"/>
        <w:jc w:val="both"/>
        <w:rPr>
          <w:szCs w:val="24"/>
        </w:rPr>
      </w:pPr>
    </w:p>
    <w:p w14:paraId="03656886" w14:textId="77777777" w:rsidR="00E46A20" w:rsidRPr="00E46A20" w:rsidRDefault="00E46A20" w:rsidP="00E46A20">
      <w:pPr>
        <w:spacing w:line="240" w:lineRule="auto"/>
        <w:ind w:left="708" w:firstLine="708"/>
        <w:jc w:val="both"/>
        <w:rPr>
          <w:szCs w:val="24"/>
        </w:rPr>
      </w:pPr>
      <w:r w:rsidRPr="00E46A20">
        <w:rPr>
          <w:szCs w:val="24"/>
        </w:rPr>
        <w:t>Sadržaj pisane provjere znanja utvrđuje Povjerenstvo.</w:t>
      </w:r>
    </w:p>
    <w:p w14:paraId="64678584" w14:textId="77777777" w:rsidR="00E46A20" w:rsidRPr="00E46A20" w:rsidRDefault="00E46A20" w:rsidP="00E46A20">
      <w:pPr>
        <w:spacing w:line="240" w:lineRule="auto"/>
        <w:jc w:val="both"/>
        <w:rPr>
          <w:szCs w:val="24"/>
        </w:rPr>
      </w:pPr>
    </w:p>
    <w:p w14:paraId="7279F291" w14:textId="77777777" w:rsidR="00E46A20" w:rsidRPr="00E46A20" w:rsidRDefault="00E46A20" w:rsidP="00E46A20">
      <w:pPr>
        <w:spacing w:line="240" w:lineRule="auto"/>
        <w:ind w:firstLine="1416"/>
        <w:jc w:val="both"/>
        <w:rPr>
          <w:szCs w:val="24"/>
        </w:rPr>
      </w:pPr>
      <w:r w:rsidRPr="00E46A20">
        <w:rPr>
          <w:szCs w:val="24"/>
        </w:rPr>
        <w:t>Pisana provjera znanja traje dva sata i sastoji se od 40 pitanja ili zadataka, pri čemu se za svaki točan odgovor dobiva jedan bod.</w:t>
      </w:r>
    </w:p>
    <w:p w14:paraId="4B5B87CE" w14:textId="77777777" w:rsidR="00E46A20" w:rsidRPr="00E46A20" w:rsidRDefault="00E46A20" w:rsidP="00E46A20">
      <w:pPr>
        <w:spacing w:line="240" w:lineRule="auto"/>
        <w:jc w:val="both"/>
        <w:rPr>
          <w:szCs w:val="24"/>
        </w:rPr>
      </w:pPr>
    </w:p>
    <w:p w14:paraId="1175CFAB" w14:textId="77777777" w:rsidR="00E46A20" w:rsidRPr="00E46A20" w:rsidRDefault="00E46A20" w:rsidP="00E46A20">
      <w:pPr>
        <w:spacing w:line="240" w:lineRule="auto"/>
        <w:ind w:firstLine="1416"/>
        <w:jc w:val="both"/>
        <w:rPr>
          <w:szCs w:val="24"/>
        </w:rPr>
      </w:pPr>
      <w:r w:rsidRPr="00E46A20">
        <w:rPr>
          <w:szCs w:val="24"/>
        </w:rPr>
        <w:t>Prije početka testiranja vrši se uvid u identifikacijsku ispravu radi utvrđivanja statusa kandidata. Kandidati koji ne mogu dokazati identitet te osobe za koje se utvrdi da nisu podnijele prijavu na javni natječaj za mjesto za koje se obavlja testiranje, ne mogu pristupiti testiranju.</w:t>
      </w:r>
    </w:p>
    <w:p w14:paraId="6FAC80D3" w14:textId="77777777" w:rsidR="00E46A20" w:rsidRPr="00E46A20" w:rsidRDefault="00E46A20" w:rsidP="00E46A20">
      <w:pPr>
        <w:spacing w:line="240" w:lineRule="auto"/>
        <w:jc w:val="both"/>
        <w:rPr>
          <w:szCs w:val="24"/>
        </w:rPr>
      </w:pPr>
    </w:p>
    <w:p w14:paraId="47D71736" w14:textId="77777777" w:rsidR="00E46A20" w:rsidRPr="00E46A20" w:rsidRDefault="00E46A20" w:rsidP="00E46A20">
      <w:pPr>
        <w:spacing w:line="240" w:lineRule="auto"/>
        <w:ind w:left="372" w:firstLine="708"/>
        <w:jc w:val="both"/>
        <w:rPr>
          <w:szCs w:val="24"/>
        </w:rPr>
      </w:pPr>
      <w:r w:rsidRPr="00E46A20">
        <w:rPr>
          <w:szCs w:val="24"/>
        </w:rPr>
        <w:t xml:space="preserve">Za vrijeme pisane provjere kandidatima </w:t>
      </w:r>
      <w:r w:rsidRPr="00E46A20">
        <w:rPr>
          <w:b/>
          <w:szCs w:val="24"/>
          <w:u w:val="single"/>
        </w:rPr>
        <w:t>nije dopušteno</w:t>
      </w:r>
      <w:r w:rsidRPr="00E46A20">
        <w:rPr>
          <w:szCs w:val="24"/>
        </w:rPr>
        <w:t>:</w:t>
      </w:r>
    </w:p>
    <w:p w14:paraId="21A25680" w14:textId="77777777" w:rsidR="00E46A20" w:rsidRPr="00E46A20" w:rsidRDefault="00E46A20" w:rsidP="00E46A20">
      <w:pPr>
        <w:spacing w:line="240" w:lineRule="auto"/>
        <w:jc w:val="both"/>
        <w:rPr>
          <w:szCs w:val="24"/>
        </w:rPr>
      </w:pPr>
    </w:p>
    <w:p w14:paraId="6BDD24D8" w14:textId="77777777" w:rsidR="00E46A20" w:rsidRPr="00E46A20" w:rsidRDefault="00E46A20" w:rsidP="00E46A20">
      <w:pPr>
        <w:numPr>
          <w:ilvl w:val="0"/>
          <w:numId w:val="5"/>
        </w:numPr>
        <w:spacing w:after="160" w:line="240" w:lineRule="auto"/>
        <w:jc w:val="both"/>
        <w:rPr>
          <w:szCs w:val="24"/>
        </w:rPr>
      </w:pPr>
      <w:r w:rsidRPr="00E46A20">
        <w:rPr>
          <w:szCs w:val="24"/>
        </w:rPr>
        <w:t>koristiti se bilo kakvim pravnim materijalima, kao što su tekstovi propisa, stručna literatura ili bilješke;</w:t>
      </w:r>
    </w:p>
    <w:p w14:paraId="1DDB6317" w14:textId="77777777" w:rsidR="00E46A20" w:rsidRPr="00E46A20" w:rsidRDefault="00E46A20" w:rsidP="00E46A20">
      <w:pPr>
        <w:numPr>
          <w:ilvl w:val="0"/>
          <w:numId w:val="5"/>
        </w:numPr>
        <w:spacing w:after="160" w:line="240" w:lineRule="auto"/>
        <w:jc w:val="both"/>
        <w:rPr>
          <w:szCs w:val="24"/>
        </w:rPr>
      </w:pPr>
      <w:r w:rsidRPr="00E46A20">
        <w:rPr>
          <w:szCs w:val="24"/>
        </w:rPr>
        <w:t>koristiti mobitel ili druga komunikacijska sredstva ili tehnička pomagala;</w:t>
      </w:r>
    </w:p>
    <w:p w14:paraId="04751D23" w14:textId="77777777" w:rsidR="00E46A20" w:rsidRPr="00E46A20" w:rsidRDefault="00E46A20" w:rsidP="00E46A20">
      <w:pPr>
        <w:numPr>
          <w:ilvl w:val="0"/>
          <w:numId w:val="5"/>
        </w:numPr>
        <w:spacing w:after="160" w:line="240" w:lineRule="auto"/>
        <w:jc w:val="both"/>
        <w:rPr>
          <w:szCs w:val="24"/>
        </w:rPr>
      </w:pPr>
      <w:r w:rsidRPr="00E46A20">
        <w:rPr>
          <w:szCs w:val="24"/>
        </w:rPr>
        <w:t>bez odobrenja napuštati prostoriju u kojoj se održava pisana provjera;</w:t>
      </w:r>
    </w:p>
    <w:p w14:paraId="1BEB6889" w14:textId="77777777" w:rsidR="00E46A20" w:rsidRPr="00E46A20" w:rsidRDefault="00E46A20" w:rsidP="00E46A20">
      <w:pPr>
        <w:numPr>
          <w:ilvl w:val="0"/>
          <w:numId w:val="5"/>
        </w:numPr>
        <w:spacing w:after="160" w:line="240" w:lineRule="auto"/>
        <w:jc w:val="both"/>
        <w:rPr>
          <w:szCs w:val="24"/>
        </w:rPr>
      </w:pPr>
      <w:r w:rsidRPr="00E46A20">
        <w:rPr>
          <w:szCs w:val="24"/>
        </w:rPr>
        <w:t>razgovarati s ostalim kandidatima niti na drugi način remetiti koncentraciju kandidata.</w:t>
      </w:r>
    </w:p>
    <w:p w14:paraId="311618AD" w14:textId="77777777" w:rsidR="00E46A20" w:rsidRPr="00E46A20" w:rsidRDefault="00E46A20" w:rsidP="00E46A20">
      <w:pPr>
        <w:spacing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46A20" w:rsidRPr="00E46A20" w14:paraId="7A2DE911" w14:textId="77777777" w:rsidTr="00134F3D">
        <w:tc>
          <w:tcPr>
            <w:tcW w:w="9718" w:type="dxa"/>
            <w:tcBorders>
              <w:top w:val="single" w:sz="4" w:space="0" w:color="auto"/>
              <w:left w:val="single" w:sz="4" w:space="0" w:color="auto"/>
              <w:bottom w:val="single" w:sz="4" w:space="0" w:color="auto"/>
              <w:right w:val="single" w:sz="4" w:space="0" w:color="auto"/>
            </w:tcBorders>
            <w:shd w:val="clear" w:color="auto" w:fill="auto"/>
          </w:tcPr>
          <w:p w14:paraId="37BD7492" w14:textId="77777777" w:rsidR="00E46A20" w:rsidRPr="00E46A20" w:rsidRDefault="00E46A20" w:rsidP="00E46A20">
            <w:pPr>
              <w:spacing w:line="240" w:lineRule="auto"/>
              <w:jc w:val="both"/>
              <w:rPr>
                <w:szCs w:val="24"/>
                <w:lang w:eastAsia="en-US"/>
              </w:rPr>
            </w:pPr>
            <w:r w:rsidRPr="00E46A20">
              <w:rPr>
                <w:b/>
                <w:szCs w:val="24"/>
              </w:rPr>
              <w:t>Ukoliko pojedini kandidat prekrši gornja pravila oduzet će mu se to tada napisana radnja, udaljit će se s mjesta provjere znanja i utvrdit će se da više nije kandidat.</w:t>
            </w:r>
          </w:p>
        </w:tc>
      </w:tr>
    </w:tbl>
    <w:p w14:paraId="4E531DD2" w14:textId="77777777" w:rsidR="00E46A20" w:rsidRPr="00E46A20" w:rsidRDefault="00E46A20" w:rsidP="00E46A20">
      <w:pPr>
        <w:spacing w:line="240" w:lineRule="auto"/>
        <w:jc w:val="center"/>
        <w:rPr>
          <w:szCs w:val="24"/>
          <w:lang w:eastAsia="en-US"/>
        </w:rPr>
      </w:pPr>
    </w:p>
    <w:p w14:paraId="65ABE9D0" w14:textId="77777777" w:rsidR="00E46A20" w:rsidRPr="00E46A20" w:rsidRDefault="00E46A20" w:rsidP="00E46A20">
      <w:pPr>
        <w:spacing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46A20" w:rsidRPr="00E46A20" w14:paraId="1B13095B" w14:textId="77777777" w:rsidTr="00134F3D">
        <w:tc>
          <w:tcPr>
            <w:tcW w:w="9718" w:type="dxa"/>
            <w:tcBorders>
              <w:top w:val="single" w:sz="4" w:space="0" w:color="auto"/>
              <w:left w:val="single" w:sz="4" w:space="0" w:color="auto"/>
              <w:bottom w:val="single" w:sz="4" w:space="0" w:color="auto"/>
              <w:right w:val="single" w:sz="4" w:space="0" w:color="auto"/>
            </w:tcBorders>
            <w:shd w:val="clear" w:color="auto" w:fill="auto"/>
          </w:tcPr>
          <w:p w14:paraId="0F35B951" w14:textId="77777777" w:rsidR="00E46A20" w:rsidRPr="00E46A20" w:rsidRDefault="00E46A20" w:rsidP="00E46A20">
            <w:pPr>
              <w:spacing w:line="240" w:lineRule="auto"/>
              <w:jc w:val="both"/>
              <w:rPr>
                <w:szCs w:val="24"/>
                <w:lang w:eastAsia="en-US"/>
              </w:rPr>
            </w:pPr>
            <w:r w:rsidRPr="00E46A20">
              <w:rPr>
                <w:b/>
                <w:bCs/>
                <w:szCs w:val="24"/>
              </w:rPr>
              <w:t xml:space="preserve">Za vrijeme boravka u Ministarstvu pravosuđa kandidati su dužni poštivati kućni red i postupati prema uputama službenih osoba. U slučaju kršenja kućnog reda i nepridržavanja uputa službenih osoba, kandidati će biti upozoreni na primjeren način, a ako se i dalje nastave neprimjereno ponašati bit će udaljeni s pisane provjere znanja.   </w:t>
            </w:r>
          </w:p>
        </w:tc>
      </w:tr>
    </w:tbl>
    <w:p w14:paraId="445AB2FD" w14:textId="77777777" w:rsidR="00E46A20" w:rsidRPr="00E46A20" w:rsidRDefault="00E46A20" w:rsidP="00E46A20">
      <w:pPr>
        <w:spacing w:line="240" w:lineRule="auto"/>
        <w:rPr>
          <w:szCs w:val="24"/>
        </w:rPr>
      </w:pPr>
    </w:p>
    <w:p w14:paraId="66915FF6" w14:textId="77777777" w:rsidR="00E46A20" w:rsidRPr="00E46A20" w:rsidRDefault="00E46A20" w:rsidP="00E46A20">
      <w:pPr>
        <w:spacing w:line="240" w:lineRule="auto"/>
        <w:rPr>
          <w:szCs w:val="24"/>
        </w:rPr>
      </w:pPr>
    </w:p>
    <w:p w14:paraId="721B4837" w14:textId="77777777" w:rsidR="00E46A20" w:rsidRPr="00E46A20" w:rsidRDefault="00E46A20" w:rsidP="00E46A20">
      <w:pPr>
        <w:spacing w:line="240" w:lineRule="auto"/>
        <w:rPr>
          <w:szCs w:val="24"/>
        </w:rPr>
      </w:pPr>
      <w:r w:rsidRPr="00E46A20">
        <w:rPr>
          <w:szCs w:val="24"/>
        </w:rPr>
        <w:t xml:space="preserve">3.3. </w:t>
      </w:r>
      <w:r w:rsidRPr="00E46A20">
        <w:rPr>
          <w:szCs w:val="24"/>
        </w:rPr>
        <w:tab/>
      </w:r>
      <w:r w:rsidRPr="00E46A20">
        <w:rPr>
          <w:szCs w:val="24"/>
        </w:rPr>
        <w:tab/>
        <w:t>Pravni izvori za pisanu provjeru znanja</w:t>
      </w:r>
    </w:p>
    <w:p w14:paraId="1BAE5CBF" w14:textId="77777777" w:rsidR="00E46A20" w:rsidRPr="00E46A20" w:rsidRDefault="00E46A20" w:rsidP="00E46A20">
      <w:pPr>
        <w:spacing w:line="240" w:lineRule="auto"/>
        <w:jc w:val="both"/>
        <w:rPr>
          <w:szCs w:val="24"/>
        </w:rPr>
      </w:pPr>
    </w:p>
    <w:p w14:paraId="0B28BB1F" w14:textId="77777777" w:rsidR="00E46A20" w:rsidRPr="00E46A20" w:rsidRDefault="00E46A20" w:rsidP="00E46A20">
      <w:pPr>
        <w:spacing w:line="240" w:lineRule="auto"/>
        <w:ind w:left="708" w:firstLine="708"/>
        <w:jc w:val="both"/>
        <w:rPr>
          <w:szCs w:val="24"/>
        </w:rPr>
      </w:pPr>
      <w:r w:rsidRPr="00E46A20">
        <w:rPr>
          <w:szCs w:val="24"/>
        </w:rPr>
        <w:t>Pisana provjera znanja temelji se na slijedećim pravnim izvorima:</w:t>
      </w:r>
    </w:p>
    <w:p w14:paraId="349F3C6D" w14:textId="77777777" w:rsidR="00E46A20" w:rsidRPr="00E46A20" w:rsidRDefault="00E46A20" w:rsidP="00E46A20">
      <w:pPr>
        <w:spacing w:line="240" w:lineRule="auto"/>
        <w:jc w:val="both"/>
        <w:rPr>
          <w:szCs w:val="24"/>
        </w:rPr>
      </w:pPr>
    </w:p>
    <w:p w14:paraId="5BDDE2DC" w14:textId="77777777" w:rsidR="00E46A20" w:rsidRPr="00E46A20" w:rsidRDefault="00E46A20" w:rsidP="00E46A20">
      <w:pPr>
        <w:spacing w:line="240" w:lineRule="auto"/>
        <w:jc w:val="both"/>
        <w:rPr>
          <w:i/>
          <w:szCs w:val="24"/>
        </w:rPr>
      </w:pPr>
      <w:r w:rsidRPr="00E46A20">
        <w:rPr>
          <w:bCs/>
          <w:i/>
          <w:szCs w:val="24"/>
        </w:rPr>
        <w:t>Građansko pravo</w:t>
      </w:r>
      <w:r w:rsidRPr="00E46A20">
        <w:rPr>
          <w:i/>
          <w:szCs w:val="24"/>
        </w:rPr>
        <w:t> </w:t>
      </w:r>
    </w:p>
    <w:p w14:paraId="6A54F3C7" w14:textId="77777777" w:rsidR="00E46A20" w:rsidRPr="00E46A20" w:rsidRDefault="00E46A20" w:rsidP="00E46A20">
      <w:pPr>
        <w:numPr>
          <w:ilvl w:val="0"/>
          <w:numId w:val="6"/>
        </w:numPr>
        <w:spacing w:after="160" w:line="240" w:lineRule="auto"/>
        <w:jc w:val="both"/>
        <w:rPr>
          <w:szCs w:val="24"/>
        </w:rPr>
      </w:pPr>
      <w:r w:rsidRPr="00E46A20">
        <w:rPr>
          <w:szCs w:val="24"/>
        </w:rPr>
        <w:t>Zakon o vlasništvu i drugim stvarnim pravima</w:t>
      </w:r>
    </w:p>
    <w:p w14:paraId="5818FBAC" w14:textId="77777777" w:rsidR="00E46A20" w:rsidRPr="00E46A20" w:rsidRDefault="00E46A20" w:rsidP="00E46A20">
      <w:pPr>
        <w:spacing w:line="240" w:lineRule="auto"/>
        <w:jc w:val="both"/>
        <w:rPr>
          <w:szCs w:val="24"/>
        </w:rPr>
      </w:pPr>
      <w:r w:rsidRPr="00E46A20">
        <w:rPr>
          <w:szCs w:val="24"/>
        </w:rPr>
        <w:t xml:space="preserve">(„Narodne novine“, broj 81/15 – pročišćeni tekst, 94/17-ispravak) </w:t>
      </w:r>
    </w:p>
    <w:p w14:paraId="517BE248" w14:textId="77777777" w:rsidR="00E46A20" w:rsidRPr="00E46A20" w:rsidRDefault="00E46A20" w:rsidP="00E46A20">
      <w:pPr>
        <w:numPr>
          <w:ilvl w:val="0"/>
          <w:numId w:val="7"/>
        </w:numPr>
        <w:spacing w:after="160" w:line="240" w:lineRule="auto"/>
        <w:jc w:val="both"/>
        <w:rPr>
          <w:szCs w:val="24"/>
        </w:rPr>
      </w:pPr>
      <w:r w:rsidRPr="00E46A20">
        <w:rPr>
          <w:szCs w:val="24"/>
        </w:rPr>
        <w:t>Zakon o zemljišnim knjigama</w:t>
      </w:r>
    </w:p>
    <w:p w14:paraId="18A4B41C" w14:textId="77777777" w:rsidR="00E46A20" w:rsidRPr="00E46A20" w:rsidRDefault="00E46A20" w:rsidP="00E46A20">
      <w:pPr>
        <w:spacing w:line="240" w:lineRule="auto"/>
        <w:ind w:left="720"/>
        <w:jc w:val="both"/>
        <w:rPr>
          <w:szCs w:val="24"/>
        </w:rPr>
      </w:pPr>
      <w:r w:rsidRPr="00E46A20">
        <w:rPr>
          <w:szCs w:val="24"/>
        </w:rPr>
        <w:t>(„Narodne novine“, broj 63/19)</w:t>
      </w:r>
    </w:p>
    <w:p w14:paraId="019E4262" w14:textId="77777777" w:rsidR="00E46A20" w:rsidRPr="00E46A20" w:rsidRDefault="00E46A20" w:rsidP="00E46A20">
      <w:pPr>
        <w:numPr>
          <w:ilvl w:val="0"/>
          <w:numId w:val="19"/>
        </w:numPr>
        <w:spacing w:after="160" w:line="240" w:lineRule="auto"/>
        <w:ind w:left="709"/>
        <w:contextualSpacing/>
        <w:jc w:val="both"/>
        <w:rPr>
          <w:szCs w:val="24"/>
        </w:rPr>
      </w:pPr>
      <w:r w:rsidRPr="00E46A20">
        <w:rPr>
          <w:szCs w:val="24"/>
        </w:rPr>
        <w:t>Zakon o nasljeđivanju</w:t>
      </w:r>
    </w:p>
    <w:p w14:paraId="2F656386" w14:textId="77777777" w:rsidR="00E46A20" w:rsidRPr="00E46A20" w:rsidRDefault="00E46A20" w:rsidP="00E46A20">
      <w:pPr>
        <w:spacing w:line="240" w:lineRule="auto"/>
        <w:jc w:val="both"/>
        <w:rPr>
          <w:szCs w:val="24"/>
        </w:rPr>
      </w:pPr>
      <w:r w:rsidRPr="00E46A20">
        <w:rPr>
          <w:szCs w:val="24"/>
        </w:rPr>
        <w:t xml:space="preserve">(„Narodne novine“, broj 48/03, 163/03, 35/05, 127/13, 33/15 i 14/19 – </w:t>
      </w:r>
      <w:proofErr w:type="spellStart"/>
      <w:r w:rsidRPr="00E46A20">
        <w:rPr>
          <w:szCs w:val="24"/>
        </w:rPr>
        <w:t>materijalnopravne</w:t>
      </w:r>
      <w:proofErr w:type="spellEnd"/>
      <w:r w:rsidRPr="00E46A20">
        <w:rPr>
          <w:szCs w:val="24"/>
        </w:rPr>
        <w:t xml:space="preserve"> odredbe) </w:t>
      </w:r>
    </w:p>
    <w:p w14:paraId="5FA7CED1" w14:textId="77777777" w:rsidR="00E46A20" w:rsidRPr="00E46A20" w:rsidRDefault="00E46A20" w:rsidP="00E46A20">
      <w:pPr>
        <w:numPr>
          <w:ilvl w:val="0"/>
          <w:numId w:val="8"/>
        </w:numPr>
        <w:spacing w:after="160" w:line="240" w:lineRule="auto"/>
        <w:jc w:val="both"/>
        <w:rPr>
          <w:szCs w:val="24"/>
        </w:rPr>
      </w:pPr>
      <w:r w:rsidRPr="00E46A20">
        <w:rPr>
          <w:szCs w:val="24"/>
        </w:rPr>
        <w:t>Zakon o obveznim odnosima</w:t>
      </w:r>
    </w:p>
    <w:p w14:paraId="43B603AD" w14:textId="77777777" w:rsidR="00E46A20" w:rsidRPr="00E46A20" w:rsidRDefault="00E46A20" w:rsidP="00E46A20">
      <w:pPr>
        <w:spacing w:line="240" w:lineRule="auto"/>
        <w:jc w:val="both"/>
        <w:rPr>
          <w:szCs w:val="24"/>
        </w:rPr>
      </w:pPr>
      <w:r w:rsidRPr="00E46A20">
        <w:rPr>
          <w:szCs w:val="24"/>
        </w:rPr>
        <w:t>„Narodne novine“, broj 35/05, 41/08, 125/11 (Zakon o rokovima ispunjenja novčanih obveza), 78/15 i 29/18)</w:t>
      </w:r>
    </w:p>
    <w:p w14:paraId="38B7DA9E" w14:textId="77777777" w:rsidR="00E46A20" w:rsidRPr="00E46A20" w:rsidRDefault="00E46A20" w:rsidP="00E46A20">
      <w:pPr>
        <w:spacing w:line="240" w:lineRule="auto"/>
        <w:jc w:val="both"/>
        <w:rPr>
          <w:i/>
          <w:szCs w:val="24"/>
        </w:rPr>
      </w:pPr>
      <w:r w:rsidRPr="00E46A20">
        <w:rPr>
          <w:szCs w:val="24"/>
        </w:rPr>
        <w:br/>
      </w:r>
      <w:r w:rsidRPr="00E46A20">
        <w:rPr>
          <w:bCs/>
          <w:i/>
          <w:szCs w:val="24"/>
        </w:rPr>
        <w:t>Trgovačko pravo</w:t>
      </w:r>
      <w:r w:rsidRPr="00E46A20">
        <w:rPr>
          <w:i/>
          <w:szCs w:val="24"/>
        </w:rPr>
        <w:t xml:space="preserve">  </w:t>
      </w:r>
    </w:p>
    <w:p w14:paraId="004A9FEA" w14:textId="77777777" w:rsidR="00E46A20" w:rsidRPr="00E46A20" w:rsidRDefault="00E46A20" w:rsidP="00E46A20">
      <w:pPr>
        <w:numPr>
          <w:ilvl w:val="0"/>
          <w:numId w:val="9"/>
        </w:numPr>
        <w:spacing w:after="160" w:line="240" w:lineRule="auto"/>
        <w:jc w:val="both"/>
        <w:rPr>
          <w:szCs w:val="24"/>
        </w:rPr>
      </w:pPr>
      <w:r w:rsidRPr="00E46A20">
        <w:rPr>
          <w:szCs w:val="24"/>
        </w:rPr>
        <w:t>Zakon o trgovačkim društvima</w:t>
      </w:r>
    </w:p>
    <w:p w14:paraId="49E5968B" w14:textId="77777777" w:rsidR="00E46A20" w:rsidRPr="00E46A20" w:rsidRDefault="00E46A20" w:rsidP="00E46A20">
      <w:pPr>
        <w:spacing w:line="240" w:lineRule="auto"/>
        <w:jc w:val="both"/>
        <w:rPr>
          <w:szCs w:val="24"/>
        </w:rPr>
      </w:pPr>
      <w:r w:rsidRPr="00E46A20">
        <w:rPr>
          <w:szCs w:val="24"/>
        </w:rPr>
        <w:t xml:space="preserve">(„Narodne novine”, broj 152/11 - pročišćeni tekst, 111/12, 68/13, 110/15 i 40/19) </w:t>
      </w:r>
    </w:p>
    <w:p w14:paraId="07CD37BB" w14:textId="77777777" w:rsidR="00E46A20" w:rsidRPr="00E46A20" w:rsidRDefault="00E46A20" w:rsidP="00E46A20">
      <w:pPr>
        <w:spacing w:line="240" w:lineRule="auto"/>
        <w:jc w:val="both"/>
        <w:rPr>
          <w:b/>
          <w:bCs/>
          <w:szCs w:val="24"/>
        </w:rPr>
      </w:pPr>
    </w:p>
    <w:p w14:paraId="66DFABA4" w14:textId="77777777" w:rsidR="00E46A20" w:rsidRPr="00E46A20" w:rsidRDefault="00E46A20" w:rsidP="00E46A20">
      <w:pPr>
        <w:spacing w:line="240" w:lineRule="auto"/>
        <w:jc w:val="both"/>
        <w:rPr>
          <w:i/>
          <w:szCs w:val="24"/>
        </w:rPr>
      </w:pPr>
      <w:r w:rsidRPr="00E46A20">
        <w:rPr>
          <w:bCs/>
          <w:i/>
          <w:szCs w:val="24"/>
        </w:rPr>
        <w:t xml:space="preserve">Građansko </w:t>
      </w:r>
      <w:proofErr w:type="spellStart"/>
      <w:r w:rsidRPr="00E46A20">
        <w:rPr>
          <w:bCs/>
          <w:i/>
          <w:szCs w:val="24"/>
        </w:rPr>
        <w:t>postupovno</w:t>
      </w:r>
      <w:proofErr w:type="spellEnd"/>
      <w:r w:rsidRPr="00E46A20">
        <w:rPr>
          <w:bCs/>
          <w:i/>
          <w:szCs w:val="24"/>
        </w:rPr>
        <w:t xml:space="preserve"> pravo</w:t>
      </w:r>
      <w:r w:rsidRPr="00E46A20">
        <w:rPr>
          <w:i/>
          <w:szCs w:val="24"/>
        </w:rPr>
        <w:t xml:space="preserve">  </w:t>
      </w:r>
    </w:p>
    <w:p w14:paraId="2DC8A0F3" w14:textId="77777777" w:rsidR="00E46A20" w:rsidRPr="00E46A20" w:rsidRDefault="00E46A20" w:rsidP="00E46A20">
      <w:pPr>
        <w:numPr>
          <w:ilvl w:val="0"/>
          <w:numId w:val="10"/>
        </w:numPr>
        <w:spacing w:after="160" w:line="240" w:lineRule="auto"/>
        <w:jc w:val="both"/>
        <w:rPr>
          <w:szCs w:val="24"/>
        </w:rPr>
      </w:pPr>
      <w:r w:rsidRPr="00E46A20">
        <w:rPr>
          <w:szCs w:val="24"/>
        </w:rPr>
        <w:t>Zakon o parničnom postupku</w:t>
      </w:r>
    </w:p>
    <w:p w14:paraId="04D3531D" w14:textId="77777777" w:rsidR="00E46A20" w:rsidRPr="00E46A20" w:rsidRDefault="00E46A20" w:rsidP="00E46A20">
      <w:pPr>
        <w:spacing w:line="240" w:lineRule="auto"/>
        <w:jc w:val="both"/>
        <w:rPr>
          <w:szCs w:val="24"/>
        </w:rPr>
      </w:pPr>
      <w:r w:rsidRPr="00E46A20">
        <w:rPr>
          <w:szCs w:val="24"/>
        </w:rPr>
        <w:t xml:space="preserve">(„Narodne novine“, 148/11 – pročišćeni tekst, 25/13, 89/14 i 70/19) </w:t>
      </w:r>
    </w:p>
    <w:p w14:paraId="3A2821EE" w14:textId="77777777" w:rsidR="00E46A20" w:rsidRPr="00E46A20" w:rsidRDefault="00E46A20" w:rsidP="00E46A20">
      <w:pPr>
        <w:numPr>
          <w:ilvl w:val="0"/>
          <w:numId w:val="11"/>
        </w:numPr>
        <w:spacing w:after="160" w:line="240" w:lineRule="auto"/>
        <w:jc w:val="both"/>
        <w:rPr>
          <w:szCs w:val="24"/>
        </w:rPr>
      </w:pPr>
      <w:r w:rsidRPr="00E46A20">
        <w:rPr>
          <w:szCs w:val="24"/>
        </w:rPr>
        <w:t>Zakon o nasljeđivanju</w:t>
      </w:r>
    </w:p>
    <w:p w14:paraId="30AA6940" w14:textId="77777777" w:rsidR="00E46A20" w:rsidRPr="00E46A20" w:rsidRDefault="00E46A20" w:rsidP="00E46A20">
      <w:pPr>
        <w:spacing w:line="240" w:lineRule="auto"/>
        <w:jc w:val="both"/>
        <w:rPr>
          <w:szCs w:val="24"/>
        </w:rPr>
      </w:pPr>
      <w:r w:rsidRPr="00E46A20">
        <w:rPr>
          <w:szCs w:val="24"/>
        </w:rPr>
        <w:t xml:space="preserve">(„Narodne novine“, broj 48/03, 163/03, 35/05, 127/13, 33/15 i 14/19 - </w:t>
      </w:r>
      <w:proofErr w:type="spellStart"/>
      <w:r w:rsidRPr="00E46A20">
        <w:rPr>
          <w:szCs w:val="24"/>
        </w:rPr>
        <w:t>postupovne</w:t>
      </w:r>
      <w:proofErr w:type="spellEnd"/>
      <w:r w:rsidRPr="00E46A20">
        <w:rPr>
          <w:szCs w:val="24"/>
        </w:rPr>
        <w:t xml:space="preserve"> odredbe) </w:t>
      </w:r>
    </w:p>
    <w:p w14:paraId="14948229" w14:textId="77777777" w:rsidR="00E46A20" w:rsidRPr="00E46A20" w:rsidRDefault="00E46A20" w:rsidP="00E46A20">
      <w:pPr>
        <w:spacing w:line="240" w:lineRule="auto"/>
        <w:jc w:val="both"/>
        <w:rPr>
          <w:i/>
          <w:szCs w:val="24"/>
        </w:rPr>
      </w:pPr>
      <w:r w:rsidRPr="00E46A20">
        <w:rPr>
          <w:szCs w:val="24"/>
        </w:rPr>
        <w:lastRenderedPageBreak/>
        <w:t> </w:t>
      </w:r>
      <w:r w:rsidRPr="00E46A20">
        <w:rPr>
          <w:szCs w:val="24"/>
        </w:rPr>
        <w:br/>
      </w:r>
      <w:r w:rsidRPr="00E46A20">
        <w:rPr>
          <w:bCs/>
          <w:i/>
          <w:szCs w:val="24"/>
        </w:rPr>
        <w:t>Obiteljsko pravo</w:t>
      </w:r>
      <w:r w:rsidRPr="00E46A20">
        <w:rPr>
          <w:i/>
          <w:szCs w:val="24"/>
        </w:rPr>
        <w:t xml:space="preserve">  </w:t>
      </w:r>
    </w:p>
    <w:p w14:paraId="2052246E" w14:textId="77777777" w:rsidR="00E46A20" w:rsidRPr="00E46A20" w:rsidRDefault="00E46A20" w:rsidP="00E46A20">
      <w:pPr>
        <w:numPr>
          <w:ilvl w:val="0"/>
          <w:numId w:val="12"/>
        </w:numPr>
        <w:spacing w:after="160" w:line="240" w:lineRule="auto"/>
        <w:jc w:val="both"/>
        <w:rPr>
          <w:szCs w:val="24"/>
        </w:rPr>
      </w:pPr>
      <w:r w:rsidRPr="00E46A20">
        <w:rPr>
          <w:szCs w:val="24"/>
        </w:rPr>
        <w:t>Obiteljski zakon</w:t>
      </w:r>
    </w:p>
    <w:p w14:paraId="0A4C5905" w14:textId="77777777" w:rsidR="00E46A20" w:rsidRPr="00E46A20" w:rsidRDefault="00E46A20" w:rsidP="00E46A20">
      <w:pPr>
        <w:spacing w:line="240" w:lineRule="auto"/>
        <w:jc w:val="both"/>
        <w:rPr>
          <w:szCs w:val="24"/>
        </w:rPr>
      </w:pPr>
      <w:r w:rsidRPr="00E46A20">
        <w:rPr>
          <w:szCs w:val="24"/>
        </w:rPr>
        <w:t xml:space="preserve">(„Narodne novine“, broj 103/15 i 98/19) </w:t>
      </w:r>
    </w:p>
    <w:p w14:paraId="2DFFCC1D" w14:textId="77777777" w:rsidR="00E46A20" w:rsidRPr="00E46A20" w:rsidRDefault="00E46A20" w:rsidP="00E46A20">
      <w:pPr>
        <w:spacing w:line="240" w:lineRule="auto"/>
        <w:jc w:val="both"/>
        <w:rPr>
          <w:i/>
          <w:szCs w:val="24"/>
        </w:rPr>
      </w:pPr>
      <w:r w:rsidRPr="00E46A20">
        <w:rPr>
          <w:szCs w:val="24"/>
        </w:rPr>
        <w:br/>
      </w:r>
      <w:r w:rsidRPr="00E46A20">
        <w:rPr>
          <w:bCs/>
          <w:i/>
          <w:szCs w:val="24"/>
        </w:rPr>
        <w:t>Kazneno pravo</w:t>
      </w:r>
      <w:r w:rsidRPr="00E46A20">
        <w:rPr>
          <w:i/>
          <w:szCs w:val="24"/>
        </w:rPr>
        <w:t xml:space="preserve">  </w:t>
      </w:r>
    </w:p>
    <w:p w14:paraId="49465052" w14:textId="77777777" w:rsidR="00E46A20" w:rsidRPr="00E46A20" w:rsidRDefault="00E46A20" w:rsidP="00E46A20">
      <w:pPr>
        <w:numPr>
          <w:ilvl w:val="0"/>
          <w:numId w:val="13"/>
        </w:numPr>
        <w:spacing w:after="160" w:line="240" w:lineRule="auto"/>
        <w:jc w:val="both"/>
        <w:rPr>
          <w:szCs w:val="24"/>
        </w:rPr>
      </w:pPr>
      <w:r w:rsidRPr="00E46A20">
        <w:rPr>
          <w:szCs w:val="24"/>
        </w:rPr>
        <w:t>Kazneni zakon</w:t>
      </w:r>
    </w:p>
    <w:p w14:paraId="29844730" w14:textId="77777777" w:rsidR="00E46A20" w:rsidRPr="00E46A20" w:rsidRDefault="00E46A20" w:rsidP="00E46A20">
      <w:pPr>
        <w:spacing w:line="240" w:lineRule="auto"/>
        <w:jc w:val="both"/>
        <w:rPr>
          <w:szCs w:val="24"/>
        </w:rPr>
      </w:pPr>
      <w:r w:rsidRPr="00E46A20">
        <w:rPr>
          <w:szCs w:val="24"/>
        </w:rPr>
        <w:t xml:space="preserve">(„Narodne novine”, broj 125/11, 144/12, 56/15, 61/15, 101/17, 118/18 i 126/19) </w:t>
      </w:r>
    </w:p>
    <w:p w14:paraId="52ABB768" w14:textId="77777777" w:rsidR="00E46A20" w:rsidRPr="00E46A20" w:rsidRDefault="00E46A20" w:rsidP="00E46A20">
      <w:pPr>
        <w:spacing w:line="240" w:lineRule="auto"/>
        <w:jc w:val="both"/>
        <w:rPr>
          <w:b/>
          <w:bCs/>
          <w:szCs w:val="24"/>
        </w:rPr>
      </w:pPr>
    </w:p>
    <w:p w14:paraId="20A7E8C0" w14:textId="77777777" w:rsidR="00E46A20" w:rsidRPr="00E46A20" w:rsidRDefault="00E46A20" w:rsidP="00E46A20">
      <w:pPr>
        <w:spacing w:line="240" w:lineRule="auto"/>
        <w:jc w:val="both"/>
        <w:rPr>
          <w:i/>
          <w:szCs w:val="24"/>
        </w:rPr>
      </w:pPr>
      <w:r w:rsidRPr="00E46A20">
        <w:rPr>
          <w:bCs/>
          <w:i/>
          <w:szCs w:val="24"/>
        </w:rPr>
        <w:t xml:space="preserve">Kazneno </w:t>
      </w:r>
      <w:proofErr w:type="spellStart"/>
      <w:r w:rsidRPr="00E46A20">
        <w:rPr>
          <w:bCs/>
          <w:i/>
          <w:szCs w:val="24"/>
        </w:rPr>
        <w:t>postupovno</w:t>
      </w:r>
      <w:proofErr w:type="spellEnd"/>
      <w:r w:rsidRPr="00E46A20">
        <w:rPr>
          <w:bCs/>
          <w:i/>
          <w:szCs w:val="24"/>
        </w:rPr>
        <w:t xml:space="preserve"> pravo</w:t>
      </w:r>
      <w:r w:rsidRPr="00E46A20">
        <w:rPr>
          <w:i/>
          <w:szCs w:val="24"/>
        </w:rPr>
        <w:t xml:space="preserve">  </w:t>
      </w:r>
    </w:p>
    <w:p w14:paraId="6498CAAA" w14:textId="77777777" w:rsidR="00E46A20" w:rsidRPr="00E46A20" w:rsidRDefault="00E46A20" w:rsidP="00E46A20">
      <w:pPr>
        <w:numPr>
          <w:ilvl w:val="0"/>
          <w:numId w:val="14"/>
        </w:numPr>
        <w:spacing w:after="160" w:line="240" w:lineRule="auto"/>
        <w:jc w:val="both"/>
        <w:rPr>
          <w:szCs w:val="24"/>
        </w:rPr>
      </w:pPr>
      <w:r w:rsidRPr="00E46A20">
        <w:rPr>
          <w:szCs w:val="24"/>
        </w:rPr>
        <w:t>Zakon o kaznenom postupku</w:t>
      </w:r>
    </w:p>
    <w:p w14:paraId="54A3CF72" w14:textId="77777777" w:rsidR="00E46A20" w:rsidRPr="00E46A20" w:rsidRDefault="00E46A20" w:rsidP="00E46A20">
      <w:pPr>
        <w:spacing w:line="240" w:lineRule="auto"/>
        <w:jc w:val="both"/>
        <w:rPr>
          <w:szCs w:val="24"/>
        </w:rPr>
      </w:pPr>
      <w:r w:rsidRPr="00E46A20">
        <w:rPr>
          <w:szCs w:val="24"/>
        </w:rPr>
        <w:t xml:space="preserve">(„Narodne novine”, broj 121/11 – pročišćeni tekst, 91/12 - USRH, 143/12, 56/13, 145/13, 152/14, 70/17 i 126/19) </w:t>
      </w:r>
    </w:p>
    <w:p w14:paraId="2B5A33A3" w14:textId="77777777" w:rsidR="00E46A20" w:rsidRPr="00E46A20" w:rsidRDefault="00E46A20" w:rsidP="00E46A20">
      <w:pPr>
        <w:spacing w:line="240" w:lineRule="auto"/>
        <w:jc w:val="both"/>
        <w:rPr>
          <w:szCs w:val="24"/>
        </w:rPr>
      </w:pPr>
    </w:p>
    <w:p w14:paraId="3E7BCB48" w14:textId="77777777" w:rsidR="00E46A20" w:rsidRPr="00E46A20" w:rsidRDefault="00E46A20" w:rsidP="00E46A20">
      <w:pPr>
        <w:spacing w:line="240" w:lineRule="auto"/>
        <w:jc w:val="both"/>
        <w:rPr>
          <w:bCs/>
          <w:i/>
          <w:szCs w:val="24"/>
        </w:rPr>
      </w:pPr>
      <w:bookmarkStart w:id="1" w:name="_Hlk43380192"/>
      <w:r w:rsidRPr="00E46A20">
        <w:rPr>
          <w:bCs/>
          <w:i/>
          <w:szCs w:val="24"/>
        </w:rPr>
        <w:t>Upravno pravo</w:t>
      </w:r>
      <w:r w:rsidRPr="00E46A20">
        <w:rPr>
          <w:i/>
          <w:szCs w:val="24"/>
        </w:rPr>
        <w:t xml:space="preserve">  </w:t>
      </w:r>
    </w:p>
    <w:p w14:paraId="2E32658B" w14:textId="77777777" w:rsidR="00E46A20" w:rsidRPr="00E46A20" w:rsidRDefault="00E46A20" w:rsidP="00E46A20">
      <w:pPr>
        <w:numPr>
          <w:ilvl w:val="0"/>
          <w:numId w:val="15"/>
        </w:numPr>
        <w:spacing w:after="160" w:line="240" w:lineRule="auto"/>
        <w:jc w:val="both"/>
        <w:rPr>
          <w:szCs w:val="24"/>
        </w:rPr>
      </w:pPr>
      <w:r w:rsidRPr="00E46A20">
        <w:rPr>
          <w:szCs w:val="24"/>
        </w:rPr>
        <w:t>Zakon o općem upravnom postupku</w:t>
      </w:r>
    </w:p>
    <w:bookmarkEnd w:id="1"/>
    <w:p w14:paraId="5E6E5DE9" w14:textId="77777777" w:rsidR="00E46A20" w:rsidRPr="00E46A20" w:rsidRDefault="00E46A20" w:rsidP="00E46A20">
      <w:pPr>
        <w:spacing w:line="240" w:lineRule="auto"/>
        <w:jc w:val="both"/>
        <w:rPr>
          <w:szCs w:val="24"/>
        </w:rPr>
      </w:pPr>
      <w:r w:rsidRPr="00E46A20">
        <w:rPr>
          <w:szCs w:val="24"/>
        </w:rPr>
        <w:t xml:space="preserve">(„Narodne novine“, broj 47/09) </w:t>
      </w:r>
    </w:p>
    <w:p w14:paraId="4B159A5F" w14:textId="77777777" w:rsidR="00E46A20" w:rsidRPr="00E46A20" w:rsidRDefault="00E46A20" w:rsidP="00E46A20">
      <w:pPr>
        <w:numPr>
          <w:ilvl w:val="0"/>
          <w:numId w:val="16"/>
        </w:numPr>
        <w:spacing w:after="160" w:line="240" w:lineRule="auto"/>
        <w:jc w:val="both"/>
        <w:rPr>
          <w:szCs w:val="24"/>
        </w:rPr>
      </w:pPr>
      <w:r w:rsidRPr="00E46A20">
        <w:rPr>
          <w:szCs w:val="24"/>
        </w:rPr>
        <w:t>Zakon o upravnim sporovima</w:t>
      </w:r>
    </w:p>
    <w:p w14:paraId="16D0097A" w14:textId="29CCD4D5" w:rsidR="00E46A20" w:rsidRDefault="00E46A20" w:rsidP="00E46A20">
      <w:pPr>
        <w:spacing w:line="240" w:lineRule="auto"/>
        <w:jc w:val="both"/>
        <w:rPr>
          <w:szCs w:val="24"/>
        </w:rPr>
      </w:pPr>
      <w:r w:rsidRPr="00E46A20">
        <w:rPr>
          <w:szCs w:val="24"/>
        </w:rPr>
        <w:t xml:space="preserve">(„Narodne novine“, broj 20/10, 143/12, 152/14, 94/16 - USRH i 29/17) </w:t>
      </w:r>
    </w:p>
    <w:p w14:paraId="320DAC86" w14:textId="51A04C8C" w:rsidR="002F57B6" w:rsidRDefault="002F57B6" w:rsidP="00E46A20">
      <w:pPr>
        <w:spacing w:line="240" w:lineRule="auto"/>
        <w:jc w:val="both"/>
        <w:rPr>
          <w:szCs w:val="24"/>
        </w:rPr>
      </w:pPr>
    </w:p>
    <w:p w14:paraId="7EF644AE" w14:textId="12366DC2" w:rsidR="002F57B6" w:rsidRPr="00E46A20" w:rsidRDefault="005505E0" w:rsidP="002F57B6">
      <w:pPr>
        <w:spacing w:line="240" w:lineRule="auto"/>
        <w:jc w:val="both"/>
        <w:rPr>
          <w:bCs/>
          <w:i/>
          <w:szCs w:val="24"/>
        </w:rPr>
      </w:pPr>
      <w:r>
        <w:rPr>
          <w:bCs/>
          <w:i/>
          <w:szCs w:val="24"/>
        </w:rPr>
        <w:t xml:space="preserve">Radno </w:t>
      </w:r>
      <w:r w:rsidR="002F57B6" w:rsidRPr="00E46A20">
        <w:rPr>
          <w:bCs/>
          <w:i/>
          <w:szCs w:val="24"/>
        </w:rPr>
        <w:t>pravo</w:t>
      </w:r>
      <w:r w:rsidR="002F57B6" w:rsidRPr="00E46A20">
        <w:rPr>
          <w:i/>
          <w:szCs w:val="24"/>
        </w:rPr>
        <w:t xml:space="preserve">  </w:t>
      </w:r>
    </w:p>
    <w:p w14:paraId="48B5B38F" w14:textId="39F295E2" w:rsidR="002F57B6" w:rsidRPr="00E46A20" w:rsidRDefault="005505E0" w:rsidP="002F57B6">
      <w:pPr>
        <w:numPr>
          <w:ilvl w:val="0"/>
          <w:numId w:val="15"/>
        </w:numPr>
        <w:spacing w:after="160" w:line="240" w:lineRule="auto"/>
        <w:jc w:val="both"/>
        <w:rPr>
          <w:szCs w:val="24"/>
        </w:rPr>
      </w:pPr>
      <w:r>
        <w:rPr>
          <w:szCs w:val="24"/>
        </w:rPr>
        <w:t xml:space="preserve">Zakon o radu (,,Narodne novine'', broj </w:t>
      </w:r>
      <w:r w:rsidR="00266963">
        <w:rPr>
          <w:szCs w:val="24"/>
        </w:rPr>
        <w:t>93/14, 127/17 i 98/19).</w:t>
      </w:r>
    </w:p>
    <w:p w14:paraId="0DA575B9" w14:textId="77777777" w:rsidR="002F57B6" w:rsidRPr="00E46A20" w:rsidRDefault="002F57B6" w:rsidP="00E46A20">
      <w:pPr>
        <w:spacing w:line="240" w:lineRule="auto"/>
        <w:jc w:val="both"/>
        <w:rPr>
          <w:szCs w:val="24"/>
        </w:rPr>
      </w:pPr>
    </w:p>
    <w:p w14:paraId="4608546D" w14:textId="77777777" w:rsidR="00E46A20" w:rsidRPr="00E46A20" w:rsidRDefault="00E46A20" w:rsidP="00E46A20">
      <w:pPr>
        <w:spacing w:line="240" w:lineRule="auto"/>
        <w:rPr>
          <w:b/>
          <w:szCs w:val="24"/>
        </w:rPr>
      </w:pPr>
    </w:p>
    <w:p w14:paraId="489BC1E6" w14:textId="77777777" w:rsidR="00E46A20" w:rsidRPr="00E46A20" w:rsidRDefault="00E46A20" w:rsidP="00E46A20">
      <w:pPr>
        <w:spacing w:line="240" w:lineRule="auto"/>
        <w:rPr>
          <w:szCs w:val="24"/>
        </w:rPr>
      </w:pPr>
      <w:r w:rsidRPr="00E46A20">
        <w:rPr>
          <w:szCs w:val="24"/>
        </w:rPr>
        <w:t>3.4.</w:t>
      </w:r>
      <w:r w:rsidRPr="00E46A20">
        <w:rPr>
          <w:szCs w:val="24"/>
        </w:rPr>
        <w:tab/>
        <w:t xml:space="preserve">           Strukturirani razgovor </w:t>
      </w:r>
    </w:p>
    <w:p w14:paraId="1A6A6867" w14:textId="77777777" w:rsidR="00E46A20" w:rsidRPr="00E46A20" w:rsidRDefault="00E46A20" w:rsidP="00E46A20">
      <w:pPr>
        <w:spacing w:line="240" w:lineRule="auto"/>
        <w:jc w:val="both"/>
        <w:rPr>
          <w:szCs w:val="24"/>
        </w:rPr>
      </w:pPr>
    </w:p>
    <w:p w14:paraId="7F33F4B5" w14:textId="77777777" w:rsidR="00E46A20" w:rsidRPr="00E46A20" w:rsidRDefault="00E46A20" w:rsidP="00E46A20">
      <w:pPr>
        <w:spacing w:line="240" w:lineRule="auto"/>
        <w:ind w:left="708"/>
        <w:jc w:val="both"/>
        <w:rPr>
          <w:szCs w:val="24"/>
        </w:rPr>
      </w:pPr>
      <w:r w:rsidRPr="00E46A20">
        <w:rPr>
          <w:szCs w:val="24"/>
        </w:rPr>
        <w:t xml:space="preserve">           Strukturiranom razgovoru može pristupiti kandidat koji je ostvario najmanje 51 bod.</w:t>
      </w:r>
    </w:p>
    <w:p w14:paraId="073FB3ED" w14:textId="77777777" w:rsidR="00E46A20" w:rsidRPr="00E46A20" w:rsidRDefault="00E46A20" w:rsidP="00E46A20">
      <w:pPr>
        <w:spacing w:line="240" w:lineRule="auto"/>
        <w:jc w:val="both"/>
        <w:rPr>
          <w:szCs w:val="24"/>
        </w:rPr>
      </w:pPr>
    </w:p>
    <w:p w14:paraId="31E63B6D" w14:textId="77777777" w:rsidR="00E46A20" w:rsidRPr="00E46A20" w:rsidRDefault="00E46A20" w:rsidP="00E46A20">
      <w:pPr>
        <w:spacing w:line="240" w:lineRule="auto"/>
        <w:ind w:firstLine="1416"/>
        <w:jc w:val="both"/>
        <w:rPr>
          <w:szCs w:val="24"/>
        </w:rPr>
      </w:pPr>
      <w:r w:rsidRPr="00E46A20">
        <w:rPr>
          <w:szCs w:val="24"/>
        </w:rPr>
        <w:t>Strukturiranim razgovorom ocjenjuju se društvene i komunikacijske vještine kandidata, njegovi profesionalni ciljevi te motivacija za rad u pravosudnim tijelima.</w:t>
      </w:r>
    </w:p>
    <w:p w14:paraId="6882A481" w14:textId="77777777" w:rsidR="00E46A20" w:rsidRPr="00E46A20" w:rsidRDefault="00E46A20" w:rsidP="00E46A20">
      <w:pPr>
        <w:spacing w:line="240" w:lineRule="auto"/>
        <w:jc w:val="both"/>
        <w:rPr>
          <w:szCs w:val="24"/>
        </w:rPr>
      </w:pPr>
    </w:p>
    <w:p w14:paraId="76EDD5E2" w14:textId="77777777" w:rsidR="00E46A20" w:rsidRPr="00E46A20" w:rsidRDefault="00E46A20" w:rsidP="00E46A20">
      <w:pPr>
        <w:spacing w:line="240" w:lineRule="auto"/>
        <w:ind w:firstLine="1416"/>
        <w:jc w:val="both"/>
        <w:rPr>
          <w:szCs w:val="24"/>
        </w:rPr>
      </w:pPr>
      <w:r w:rsidRPr="00E46A20">
        <w:rPr>
          <w:szCs w:val="24"/>
        </w:rPr>
        <w:t>Strukturirani razgovor provode članovi Povjerenstva, uz sudjelovanje stručne osobe (psihologa).</w:t>
      </w:r>
    </w:p>
    <w:p w14:paraId="1D3323F5" w14:textId="77777777" w:rsidR="00E46A20" w:rsidRPr="00E46A20" w:rsidRDefault="00E46A20" w:rsidP="00E46A20">
      <w:pPr>
        <w:spacing w:before="100" w:beforeAutospacing="1" w:after="225" w:line="240" w:lineRule="auto"/>
        <w:ind w:firstLine="1416"/>
        <w:jc w:val="both"/>
        <w:rPr>
          <w:szCs w:val="24"/>
        </w:rPr>
      </w:pPr>
      <w:r w:rsidRPr="00E46A20">
        <w:rPr>
          <w:szCs w:val="24"/>
        </w:rPr>
        <w:t>Na temelju rezultata provedenog strukturiranog razgovora kandidat može ostvariti najviše 10 bodova.</w:t>
      </w:r>
    </w:p>
    <w:p w14:paraId="4DF7345C" w14:textId="77777777" w:rsidR="00E46A20" w:rsidRPr="00E46A20" w:rsidRDefault="00E46A20" w:rsidP="00E46A20">
      <w:pPr>
        <w:spacing w:line="240" w:lineRule="auto"/>
        <w:ind w:firstLine="1416"/>
        <w:jc w:val="both"/>
        <w:rPr>
          <w:szCs w:val="24"/>
        </w:rPr>
      </w:pPr>
      <w:r w:rsidRPr="00E46A20">
        <w:rPr>
          <w:szCs w:val="24"/>
        </w:rPr>
        <w:t>Nakon provedenog postupka Povjerenstvo utvrđuje listu kandidata koje predlaže za izbor ministru pravosuđa.</w:t>
      </w:r>
    </w:p>
    <w:p w14:paraId="1FA09CC5" w14:textId="77777777" w:rsidR="00E46A20" w:rsidRPr="00E46A20" w:rsidRDefault="00E46A20" w:rsidP="00E46A20">
      <w:pPr>
        <w:spacing w:line="240" w:lineRule="auto"/>
        <w:jc w:val="both"/>
        <w:rPr>
          <w:szCs w:val="24"/>
        </w:rPr>
      </w:pPr>
    </w:p>
    <w:p w14:paraId="6FAAE1E4" w14:textId="77777777" w:rsidR="00E46A20" w:rsidRPr="00E46A20" w:rsidRDefault="00E46A20" w:rsidP="00E46A20">
      <w:pPr>
        <w:spacing w:line="240" w:lineRule="auto"/>
        <w:jc w:val="both"/>
        <w:rPr>
          <w:szCs w:val="24"/>
        </w:rPr>
      </w:pPr>
      <w:r w:rsidRPr="00E46A20">
        <w:rPr>
          <w:szCs w:val="24"/>
        </w:rPr>
        <w:t xml:space="preserve">                       Izabrani kandidat prima se u državnu službu na određeno vrijeme rješenjem Ministarstva pravosuđa. </w:t>
      </w:r>
    </w:p>
    <w:p w14:paraId="09A8EE1A" w14:textId="77777777" w:rsidR="00E46A20" w:rsidRPr="00E46A20" w:rsidRDefault="00E46A20" w:rsidP="00E46A20">
      <w:pPr>
        <w:spacing w:line="240" w:lineRule="auto"/>
        <w:rPr>
          <w:rFonts w:ascii="Calibri" w:hAnsi="Calibri"/>
          <w:sz w:val="21"/>
          <w:szCs w:val="21"/>
        </w:rPr>
      </w:pPr>
    </w:p>
    <w:p w14:paraId="30C3221B" w14:textId="77777777" w:rsidR="00E46A20" w:rsidRPr="00E46A20" w:rsidRDefault="00E46A20" w:rsidP="00E46A20">
      <w:pPr>
        <w:spacing w:line="240" w:lineRule="auto"/>
        <w:ind w:firstLine="1416"/>
        <w:jc w:val="both"/>
        <w:rPr>
          <w:szCs w:val="24"/>
        </w:rPr>
      </w:pPr>
      <w:r w:rsidRPr="00E46A20">
        <w:rPr>
          <w:szCs w:val="24"/>
        </w:rPr>
        <w:t xml:space="preserve">Protiv rješenja o prijmu vježbenika nije dopuštena žalba, ali može se pokrenuti upravni spor. </w:t>
      </w:r>
    </w:p>
    <w:p w14:paraId="4900244C" w14:textId="77777777" w:rsidR="00E46A20" w:rsidRPr="00E46A20" w:rsidRDefault="00E46A20" w:rsidP="00E46A20">
      <w:pPr>
        <w:spacing w:line="240" w:lineRule="auto"/>
        <w:ind w:firstLine="1416"/>
        <w:jc w:val="both"/>
        <w:rPr>
          <w:szCs w:val="24"/>
        </w:rPr>
      </w:pPr>
    </w:p>
    <w:p w14:paraId="257D642F" w14:textId="77777777" w:rsidR="00E46A20" w:rsidRPr="00E46A20" w:rsidRDefault="00E46A20" w:rsidP="00E46A20">
      <w:pPr>
        <w:spacing w:line="240" w:lineRule="auto"/>
        <w:ind w:firstLine="1416"/>
        <w:jc w:val="both"/>
        <w:rPr>
          <w:szCs w:val="24"/>
        </w:rPr>
      </w:pPr>
      <w:r w:rsidRPr="00E46A20">
        <w:rPr>
          <w:szCs w:val="24"/>
        </w:rPr>
        <w:t>Kandidat postaje vježbenik s danom početka rada, koji utvrđuje rješenjem o rasporedu na radno mjesto čelnik pravosudnog tijela u koje je vježbenik izabran. Dan početka rada može se iz opravdanih razloga odgoditi za najviše 60 dana, o čemu se donosi posebno rješenje.</w:t>
      </w:r>
    </w:p>
    <w:p w14:paraId="56791A1E" w14:textId="77777777" w:rsidR="00E46A20" w:rsidRPr="00E46A20" w:rsidRDefault="00E46A20" w:rsidP="00E46A20">
      <w:pPr>
        <w:spacing w:line="240" w:lineRule="auto"/>
        <w:ind w:firstLine="1416"/>
        <w:jc w:val="both"/>
        <w:rPr>
          <w:szCs w:val="24"/>
        </w:rPr>
      </w:pPr>
      <w:r w:rsidRPr="00E46A20">
        <w:rPr>
          <w:szCs w:val="24"/>
        </w:rPr>
        <w:t xml:space="preserve"> </w:t>
      </w:r>
    </w:p>
    <w:p w14:paraId="7EEBCFD4" w14:textId="77777777" w:rsidR="00E46A20" w:rsidRPr="00E46A20" w:rsidRDefault="00E46A20" w:rsidP="00E46A20">
      <w:pPr>
        <w:spacing w:line="240" w:lineRule="auto"/>
        <w:ind w:firstLine="1416"/>
        <w:jc w:val="both"/>
        <w:rPr>
          <w:szCs w:val="24"/>
        </w:rPr>
      </w:pPr>
      <w:r w:rsidRPr="00E46A20">
        <w:rPr>
          <w:szCs w:val="24"/>
        </w:rPr>
        <w:t>Ako osoba primljena u državnu službu ne započne raditi određenog dana, Ministarstvo pravosuđa ukinut će rješenje o prijmu u državnu službu i rješenje o rasporedu na radno mjesto te osobe, u kojem će se slučaju izabrati sljedeći kandidat po broju bodova.</w:t>
      </w:r>
    </w:p>
    <w:p w14:paraId="3790FD8A" w14:textId="77777777" w:rsidR="00E46A20" w:rsidRPr="00E46A20" w:rsidRDefault="00E46A20" w:rsidP="00E46A20">
      <w:pPr>
        <w:spacing w:line="240" w:lineRule="auto"/>
        <w:ind w:firstLine="1416"/>
        <w:jc w:val="both"/>
        <w:rPr>
          <w:szCs w:val="24"/>
        </w:rPr>
      </w:pPr>
    </w:p>
    <w:p w14:paraId="505B64FC" w14:textId="77777777" w:rsidR="00E46A20" w:rsidRPr="00E46A20" w:rsidRDefault="00E46A20" w:rsidP="00E46A20">
      <w:pPr>
        <w:spacing w:line="240" w:lineRule="auto"/>
        <w:ind w:left="4248" w:firstLine="708"/>
        <w:jc w:val="both"/>
        <w:rPr>
          <w:szCs w:val="24"/>
        </w:rPr>
      </w:pPr>
    </w:p>
    <w:p w14:paraId="5D3DE6D2" w14:textId="77777777" w:rsidR="00E46A20" w:rsidRPr="00E46A20" w:rsidRDefault="00E46A20" w:rsidP="00E46A20">
      <w:pPr>
        <w:spacing w:after="160" w:line="259" w:lineRule="auto"/>
        <w:ind w:left="4956" w:firstLine="708"/>
        <w:rPr>
          <w:rFonts w:eastAsiaTheme="minorHAnsi"/>
          <w:szCs w:val="24"/>
          <w:lang w:eastAsia="en-US"/>
        </w:rPr>
      </w:pPr>
      <w:r w:rsidRPr="00E46A20">
        <w:rPr>
          <w:szCs w:val="24"/>
        </w:rPr>
        <w:t xml:space="preserve">                                                                                            </w:t>
      </w:r>
      <w:r w:rsidRPr="00E46A20">
        <w:rPr>
          <w:rFonts w:eastAsiaTheme="minorHAnsi"/>
          <w:szCs w:val="24"/>
          <w:lang w:eastAsia="en-US"/>
        </w:rPr>
        <w:t>MINISTARSTVO PRAVOSUĐA</w:t>
      </w:r>
    </w:p>
    <w:p w14:paraId="2ACCE6E0" w14:textId="77777777" w:rsidR="00E46A20" w:rsidRPr="00E46A20" w:rsidRDefault="00E46A20" w:rsidP="00E46A20">
      <w:pPr>
        <w:spacing w:line="240" w:lineRule="auto"/>
        <w:rPr>
          <w:szCs w:val="24"/>
        </w:rPr>
      </w:pPr>
    </w:p>
    <w:p w14:paraId="11C1D806" w14:textId="77777777" w:rsidR="00E46A20" w:rsidRPr="00E46A20" w:rsidRDefault="00E46A20" w:rsidP="00E46A20">
      <w:pPr>
        <w:spacing w:line="240" w:lineRule="auto"/>
        <w:rPr>
          <w:szCs w:val="24"/>
        </w:rPr>
      </w:pPr>
    </w:p>
    <w:p w14:paraId="54891DF1" w14:textId="77777777" w:rsidR="00E46A20" w:rsidRPr="00E46A20" w:rsidRDefault="00E46A20" w:rsidP="00E46A20">
      <w:pPr>
        <w:spacing w:line="240" w:lineRule="auto"/>
        <w:rPr>
          <w:szCs w:val="24"/>
        </w:rPr>
      </w:pPr>
    </w:p>
    <w:p w14:paraId="2B4E967F" w14:textId="77777777" w:rsidR="00E46A20" w:rsidRPr="00E46A20" w:rsidRDefault="00E46A20" w:rsidP="00E46A20">
      <w:pPr>
        <w:spacing w:line="240" w:lineRule="auto"/>
        <w:rPr>
          <w:szCs w:val="24"/>
        </w:rPr>
      </w:pPr>
    </w:p>
    <w:p w14:paraId="00F047DA" w14:textId="77777777" w:rsidR="00E46A20" w:rsidRPr="00E46A20" w:rsidRDefault="00E46A20" w:rsidP="00E46A20">
      <w:pPr>
        <w:spacing w:line="240" w:lineRule="auto"/>
        <w:rPr>
          <w:szCs w:val="24"/>
        </w:rPr>
      </w:pPr>
    </w:p>
    <w:p w14:paraId="1D013523" w14:textId="77777777" w:rsidR="00E46A20" w:rsidRPr="00E46A20" w:rsidRDefault="00E46A20" w:rsidP="00E46A20">
      <w:pPr>
        <w:spacing w:line="240" w:lineRule="auto"/>
        <w:rPr>
          <w:szCs w:val="24"/>
        </w:rPr>
      </w:pPr>
    </w:p>
    <w:p w14:paraId="5260495F" w14:textId="77777777" w:rsidR="00E46A20" w:rsidRPr="00E46A20" w:rsidRDefault="00E46A20" w:rsidP="00E46A20">
      <w:pPr>
        <w:spacing w:line="240" w:lineRule="auto"/>
        <w:rPr>
          <w:szCs w:val="24"/>
        </w:rPr>
      </w:pPr>
    </w:p>
    <w:p w14:paraId="52EB95B1" w14:textId="77777777" w:rsidR="00E46A20" w:rsidRPr="00E46A20" w:rsidRDefault="00E46A20" w:rsidP="00E46A20">
      <w:pPr>
        <w:spacing w:line="240" w:lineRule="auto"/>
        <w:rPr>
          <w:szCs w:val="24"/>
        </w:rPr>
      </w:pPr>
    </w:p>
    <w:p w14:paraId="32DA9718" w14:textId="77777777" w:rsidR="00E46A20" w:rsidRPr="00E46A20" w:rsidRDefault="00E46A20" w:rsidP="00E46A20">
      <w:pPr>
        <w:spacing w:after="160" w:line="259" w:lineRule="auto"/>
        <w:rPr>
          <w:rFonts w:asciiTheme="minorHAnsi" w:eastAsiaTheme="minorHAnsi" w:hAnsiTheme="minorHAnsi" w:cstheme="minorBidi"/>
          <w:sz w:val="22"/>
          <w:lang w:eastAsia="en-US"/>
        </w:rPr>
      </w:pPr>
    </w:p>
    <w:p w14:paraId="06E34DDC" w14:textId="77777777" w:rsidR="00E46A20" w:rsidRPr="00E46A20" w:rsidRDefault="00E46A20" w:rsidP="00E46A20">
      <w:pPr>
        <w:spacing w:after="160" w:line="259" w:lineRule="auto"/>
        <w:rPr>
          <w:rFonts w:asciiTheme="minorHAnsi" w:eastAsiaTheme="minorHAnsi" w:hAnsiTheme="minorHAnsi" w:cstheme="minorBidi"/>
          <w:sz w:val="22"/>
          <w:lang w:eastAsia="en-US"/>
        </w:rPr>
      </w:pPr>
    </w:p>
    <w:p w14:paraId="65162207" w14:textId="74CB5C4B" w:rsidR="00502C9A" w:rsidRDefault="00502C9A" w:rsidP="00455E7F">
      <w:pPr>
        <w:tabs>
          <w:tab w:val="right" w:pos="-144"/>
          <w:tab w:val="left" w:pos="0"/>
          <w:tab w:val="left" w:pos="5155"/>
        </w:tabs>
        <w:spacing w:line="202" w:lineRule="exact"/>
        <w:ind w:left="-1276"/>
        <w:rPr>
          <w:szCs w:val="24"/>
        </w:rPr>
      </w:pPr>
    </w:p>
    <w:sectPr w:rsidR="00502C9A">
      <w:headerReference w:type="default" r:id="rId9"/>
      <w:type w:val="continuous"/>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221F" w14:textId="77777777" w:rsidR="00523F01" w:rsidRDefault="00266963">
      <w:pPr>
        <w:spacing w:line="240" w:lineRule="auto"/>
      </w:pPr>
      <w:r>
        <w:separator/>
      </w:r>
    </w:p>
  </w:endnote>
  <w:endnote w:type="continuationSeparator" w:id="0">
    <w:p w14:paraId="65162221" w14:textId="77777777" w:rsidR="00523F01" w:rsidRDefault="00266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2215" w14:textId="77777777" w:rsidR="00502C9A" w:rsidRDefault="00266963">
    <w:pPr>
      <w:pStyle w:val="TyponineSans"/>
    </w:pPr>
    <w:r>
      <w:rPr>
        <w:noProof/>
      </w:rPr>
      <w:drawing>
        <wp:inline distT="0" distB="0" distL="0" distR="0" wp14:anchorId="6516221D" wp14:editId="6516221E">
          <wp:extent cx="2110740" cy="2857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2110740" cy="285750"/>
                  </a:xfrm>
                  <a:prstGeom prst="rect">
                    <a:avLst/>
                  </a:prstGeom>
                </pic:spPr>
              </pic:pic>
            </a:graphicData>
          </a:graphic>
        </wp:inline>
      </w:drawing>
    </w:r>
  </w:p>
  <w:p w14:paraId="65162216" w14:textId="77777777" w:rsidR="00502C9A" w:rsidRDefault="00266963">
    <w:pPr>
      <w:pStyle w:val="TyponineSans"/>
    </w:pPr>
    <w:r>
      <w:t>UQjeA9vFqE-pHwN317zoZQ</w:t>
    </w:r>
  </w:p>
  <w:p w14:paraId="65162217" w14:textId="77777777" w:rsidR="00502C9A" w:rsidRDefault="00502C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221B" w14:textId="77777777" w:rsidR="00523F01" w:rsidRDefault="00266963">
      <w:pPr>
        <w:spacing w:line="240" w:lineRule="auto"/>
      </w:pPr>
      <w:r>
        <w:separator/>
      </w:r>
    </w:p>
  </w:footnote>
  <w:footnote w:type="continuationSeparator" w:id="0">
    <w:p w14:paraId="6516221D" w14:textId="77777777" w:rsidR="00523F01" w:rsidRDefault="002669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2209" w14:textId="77777777" w:rsidR="00502C9A" w:rsidRDefault="00502C9A">
    <w:pPr>
      <w:pStyle w:val="TyponineSansReg"/>
    </w:pPr>
  </w:p>
  <w:p w14:paraId="6516220A" w14:textId="77777777" w:rsidR="00502C9A" w:rsidRDefault="00502C9A">
    <w:pPr>
      <w:pStyle w:val="TyponineSansReg"/>
    </w:pPr>
  </w:p>
  <w:p w14:paraId="6516220B" w14:textId="77777777" w:rsidR="00502C9A" w:rsidRDefault="00502C9A">
    <w:pPr>
      <w:pStyle w:val="TyponineSansReg"/>
    </w:pPr>
  </w:p>
  <w:p w14:paraId="6516220C" w14:textId="77777777" w:rsidR="00502C9A" w:rsidRDefault="00502C9A">
    <w:pPr>
      <w:pStyle w:val="TyponineSansReg"/>
    </w:pPr>
  </w:p>
  <w:p w14:paraId="6516220D" w14:textId="77777777" w:rsidR="00502C9A" w:rsidRDefault="00502C9A">
    <w:pPr>
      <w:pStyle w:val="TyponineSansReg"/>
    </w:pPr>
  </w:p>
  <w:p w14:paraId="51EE8377" w14:textId="71AF063F" w:rsidR="00455E7F" w:rsidRDefault="00266963" w:rsidP="00455E7F">
    <w:pPr>
      <w:spacing w:line="202" w:lineRule="exact"/>
      <w:rPr>
        <w:rFonts w:ascii="TyponineSans Reg" w:eastAsia="TyponineSans Reg" w:hAnsi="TyponineSans Reg" w:cs="TyponineSans Reg"/>
        <w:sz w:val="16"/>
      </w:rPr>
    </w:pPr>
    <w:r>
      <w:rPr>
        <w:noProof/>
        <w:bdr w:val="none" w:sz="0" w:space="0" w:color="000000"/>
      </w:rPr>
      <w:drawing>
        <wp:anchor distT="0" distB="0" distL="0" distR="0" simplePos="0" relativeHeight="251661824" behindDoc="1" locked="0" layoutInCell="1" allowOverlap="1" wp14:anchorId="6516221B" wp14:editId="6516221C">
          <wp:simplePos x="0" y="0"/>
          <wp:positionH relativeFrom="page">
            <wp:posOffset>12700</wp:posOffset>
          </wp:positionH>
          <wp:positionV relativeFrom="page">
            <wp:posOffset>0</wp:posOffset>
          </wp:positionV>
          <wp:extent cx="7569758" cy="2325667"/>
          <wp:effectExtent l="0" t="0" r="0" b="0"/>
          <wp:wrapNone/>
          <wp:docPr id="2" name="Slika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7569758" cy="2325667"/>
                  </a:xfrm>
                  <a:prstGeom prst="rect">
                    <a:avLst/>
                  </a:prstGeom>
                </pic:spPr>
              </pic:pic>
            </a:graphicData>
          </a:graphic>
        </wp:anchor>
      </w:drawing>
    </w:r>
    <w:r w:rsidR="00455E7F">
      <w:rPr>
        <w:rFonts w:ascii="TyponineSans Reg" w:eastAsia="TyponineSans Reg" w:hAnsi="TyponineSans Reg" w:cs="TyponineSans Reg"/>
        <w:sz w:val="16"/>
      </w:rPr>
      <w:t xml:space="preserve">                       U</w:t>
    </w:r>
    <w:r w:rsidR="00E46A20">
      <w:rPr>
        <w:rFonts w:ascii="TyponineSans Reg" w:eastAsia="TyponineSans Reg" w:hAnsi="TyponineSans Reg" w:cs="TyponineSans Reg"/>
        <w:sz w:val="16"/>
      </w:rPr>
      <w:t>prava za organizaciju pravosuđa</w:t>
    </w:r>
  </w:p>
  <w:p w14:paraId="7D1D17A6" w14:textId="77777777" w:rsidR="00455E7F" w:rsidRDefault="00455E7F" w:rsidP="00455E7F">
    <w:pPr>
      <w:spacing w:line="202" w:lineRule="exact"/>
      <w:rPr>
        <w:rFonts w:ascii="TyponineSans Reg" w:eastAsia="TyponineSans Reg" w:hAnsi="TyponineSans Reg" w:cs="TyponineSans Reg"/>
        <w:sz w:val="16"/>
      </w:rPr>
    </w:pPr>
  </w:p>
  <w:p w14:paraId="73233C5B" w14:textId="77777777" w:rsidR="00455E7F" w:rsidRDefault="00455E7F" w:rsidP="00455E7F">
    <w:pPr>
      <w:spacing w:line="202" w:lineRule="exact"/>
      <w:rPr>
        <w:rFonts w:ascii="TyponineSans Reg" w:eastAsia="TyponineSans Reg" w:hAnsi="TyponineSans Reg" w:cs="TyponineSans Reg"/>
        <w:sz w:val="16"/>
      </w:rPr>
    </w:pPr>
  </w:p>
  <w:p w14:paraId="15A45266" w14:textId="77777777" w:rsidR="00455E7F" w:rsidRDefault="00455E7F" w:rsidP="00455E7F">
    <w:pPr>
      <w:spacing w:line="202" w:lineRule="exact"/>
      <w:rPr>
        <w:rFonts w:ascii="TyponineSans Reg" w:eastAsia="TyponineSans Reg" w:hAnsi="TyponineSans Reg" w:cs="TyponineSans Reg"/>
        <w:sz w:val="16"/>
      </w:rPr>
    </w:pPr>
  </w:p>
  <w:p w14:paraId="1878BEA0" w14:textId="77777777" w:rsidR="00455E7F" w:rsidRDefault="00455E7F" w:rsidP="00455E7F">
    <w:pPr>
      <w:spacing w:line="202" w:lineRule="exact"/>
      <w:rPr>
        <w:rFonts w:ascii="TyponineSans Reg" w:eastAsia="TyponineSans Reg" w:hAnsi="TyponineSans Reg" w:cs="TyponineSans Reg"/>
        <w:sz w:val="16"/>
      </w:rPr>
    </w:pPr>
  </w:p>
  <w:p w14:paraId="65162212" w14:textId="5BF9C7F4" w:rsidR="00502C9A" w:rsidRDefault="00266963" w:rsidP="00455E7F">
    <w:pPr>
      <w:spacing w:line="202" w:lineRule="exact"/>
      <w:rPr>
        <w:rFonts w:ascii="TyponineSans Reg" w:eastAsia="TyponineSans Reg" w:hAnsi="TyponineSans Reg" w:cs="TyponineSans Reg"/>
        <w:smallCaps/>
        <w:sz w:val="16"/>
        <w:szCs w:val="16"/>
      </w:rPr>
    </w:pPr>
    <w:r>
      <w:rPr>
        <w:smallCaps/>
      </w:rPr>
      <w:tab/>
    </w:r>
  </w:p>
  <w:p w14:paraId="65162213" w14:textId="77777777" w:rsidR="00502C9A" w:rsidRDefault="00502C9A">
    <w:pPr>
      <w:pStyle w:val="TyponineSansRe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221A" w14:textId="77777777" w:rsidR="00502C9A" w:rsidRDefault="00502C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B"/>
    <w:multiLevelType w:val="multilevel"/>
    <w:tmpl w:val="E7C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1C69"/>
    <w:multiLevelType w:val="multilevel"/>
    <w:tmpl w:val="5B4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12C22"/>
    <w:multiLevelType w:val="multilevel"/>
    <w:tmpl w:val="AB5A3E12"/>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2B226764"/>
    <w:multiLevelType w:val="multilevel"/>
    <w:tmpl w:val="8AAAFE2C"/>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4" w15:restartNumberingAfterBreak="0">
    <w:nsid w:val="331563B5"/>
    <w:multiLevelType w:val="multilevel"/>
    <w:tmpl w:val="B13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C6A4A"/>
    <w:multiLevelType w:val="multilevel"/>
    <w:tmpl w:val="DD3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B493E"/>
    <w:multiLevelType w:val="hybridMultilevel"/>
    <w:tmpl w:val="2960D2F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D0A753E"/>
    <w:multiLevelType w:val="multilevel"/>
    <w:tmpl w:val="19B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9276A"/>
    <w:multiLevelType w:val="multilevel"/>
    <w:tmpl w:val="00DE86DC"/>
    <w:lvl w:ilvl="0">
      <w:start w:val="3"/>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152E9B"/>
    <w:multiLevelType w:val="hybridMultilevel"/>
    <w:tmpl w:val="9152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E9705B"/>
    <w:multiLevelType w:val="multilevel"/>
    <w:tmpl w:val="4F4A341A"/>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1" w15:restartNumberingAfterBreak="0">
    <w:nsid w:val="40F11731"/>
    <w:multiLevelType w:val="multilevel"/>
    <w:tmpl w:val="ACE2D99E"/>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2" w15:restartNumberingAfterBreak="0">
    <w:nsid w:val="43A37688"/>
    <w:multiLevelType w:val="multilevel"/>
    <w:tmpl w:val="122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53EAA"/>
    <w:multiLevelType w:val="multilevel"/>
    <w:tmpl w:val="79A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502D7"/>
    <w:multiLevelType w:val="multilevel"/>
    <w:tmpl w:val="5CFE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B2DC0"/>
    <w:multiLevelType w:val="hybridMultilevel"/>
    <w:tmpl w:val="7DC8F050"/>
    <w:lvl w:ilvl="0" w:tplc="DFCC331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F3D660F"/>
    <w:multiLevelType w:val="multilevel"/>
    <w:tmpl w:val="3C5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5214A"/>
    <w:multiLevelType w:val="multilevel"/>
    <w:tmpl w:val="8F8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A0DD3"/>
    <w:multiLevelType w:val="multilevel"/>
    <w:tmpl w:val="EE8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6"/>
  </w:num>
  <w:num w:numId="9">
    <w:abstractNumId w:val="4"/>
  </w:num>
  <w:num w:numId="10">
    <w:abstractNumId w:val="1"/>
  </w:num>
  <w:num w:numId="11">
    <w:abstractNumId w:val="5"/>
  </w:num>
  <w:num w:numId="12">
    <w:abstractNumId w:val="17"/>
  </w:num>
  <w:num w:numId="13">
    <w:abstractNumId w:val="13"/>
  </w:num>
  <w:num w:numId="14">
    <w:abstractNumId w:val="0"/>
  </w:num>
  <w:num w:numId="15">
    <w:abstractNumId w:val="18"/>
  </w:num>
  <w:num w:numId="16">
    <w:abstractNumId w:val="14"/>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C9A"/>
    <w:rsid w:val="00266963"/>
    <w:rsid w:val="002F57B6"/>
    <w:rsid w:val="00455E7F"/>
    <w:rsid w:val="004E51F7"/>
    <w:rsid w:val="00502C9A"/>
    <w:rsid w:val="00523F01"/>
    <w:rsid w:val="005505E0"/>
    <w:rsid w:val="008D5BF4"/>
    <w:rsid w:val="00C22F91"/>
    <w:rsid w:val="00E46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21F5"/>
  <w15:docId w15:val="{75B7666D-3471-4448-A81B-9CE2A01B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2" w:lineRule="auto"/>
    </w:pPr>
    <w:rPr>
      <w:sz w:val="24"/>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Table0">
    <w:name w:val="Normal Table_0"/>
    <w:semiHidden/>
    <w:unhideWhenUsed/>
  </w:style>
  <w:style w:type="paragraph" w:styleId="Zaglavlje">
    <w:name w:val="header"/>
    <w:basedOn w:val="Normal"/>
    <w:next w:val="Normal"/>
    <w:link w:val="ZaglavljeChar"/>
    <w:unhideWhenUsed/>
    <w:pPr>
      <w:tabs>
        <w:tab w:val="center" w:pos="4582"/>
        <w:tab w:val="right" w:pos="9164"/>
      </w:tabs>
    </w:pPr>
  </w:style>
  <w:style w:type="character" w:customStyle="1" w:styleId="ZaglavljeChar">
    <w:name w:val="Zaglavlje Char"/>
    <w:basedOn w:val="Zadanifontodlomka"/>
    <w:link w:val="Zaglavlje"/>
    <w:rPr>
      <w:bdr w:val="none" w:sz="0" w:space="0" w:color="auto"/>
    </w:rPr>
  </w:style>
  <w:style w:type="paragraph" w:styleId="Podnoje">
    <w:name w:val="footer"/>
    <w:basedOn w:val="Normal"/>
    <w:next w:val="Normal"/>
    <w:link w:val="PodnojeChar"/>
    <w:unhideWhenUsed/>
    <w:pPr>
      <w:tabs>
        <w:tab w:val="center" w:pos="4582"/>
        <w:tab w:val="right" w:pos="9164"/>
      </w:tabs>
    </w:pPr>
  </w:style>
  <w:style w:type="character" w:customStyle="1" w:styleId="PodnojeChar">
    <w:name w:val="Podnožje Char"/>
    <w:basedOn w:val="Zadanifontodlomka"/>
    <w:link w:val="Podnoje"/>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1591</Words>
  <Characters>9071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Balabušić</dc:creator>
  <cp:keywords/>
  <dc:description/>
  <cp:lastModifiedBy>Sanja Šaravanja</cp:lastModifiedBy>
  <cp:revision>9</cp:revision>
  <dcterms:created xsi:type="dcterms:W3CDTF">2020-01-23T14:11:00Z</dcterms:created>
  <dcterms:modified xsi:type="dcterms:W3CDTF">2020-06-18T12:06:00Z</dcterms:modified>
</cp:coreProperties>
</file>